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E3" w:rsidRPr="006F56E6" w:rsidRDefault="00AB0163" w:rsidP="006F56E6">
      <w:pPr>
        <w:tabs>
          <w:tab w:val="center" w:pos="4320"/>
          <w:tab w:val="right" w:pos="8640"/>
        </w:tabs>
        <w:bidi w:val="0"/>
        <w:spacing w:after="0" w:line="240" w:lineRule="auto"/>
        <w:ind w:right="67"/>
        <w:jc w:val="center"/>
        <w:rPr>
          <w:rFonts w:ascii="Arabic Typesetting" w:eastAsia="Times New Roman" w:hAnsi="Arabic Typesetting" w:cs="Arabic Typesetting"/>
          <w:sz w:val="36"/>
          <w:szCs w:val="36"/>
          <w:lang w:bidi="ar-JO"/>
        </w:rPr>
      </w:pPr>
      <w:bookmarkStart w:id="0" w:name="_GoBack"/>
      <w:r w:rsidRPr="00AB0163">
        <w:rPr>
          <w:rFonts w:ascii="Arabic Typesetting" w:eastAsia="Times New Roman" w:hAnsi="Arabic Typesetting" w:cs="Arabic Typesetting"/>
          <w:noProof/>
          <w:sz w:val="36"/>
          <w:szCs w:val="36"/>
        </w:rPr>
        <w:drawing>
          <wp:inline distT="0" distB="0" distL="0" distR="0">
            <wp:extent cx="857250" cy="1076325"/>
            <wp:effectExtent l="0" t="0" r="0" b="9525"/>
            <wp:docPr id="2" name="Picture 2" descr="E:\Local Disk\psd\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cal Disk\psd\we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66E3" w:rsidRPr="006F56E6" w:rsidRDefault="00DF66E3" w:rsidP="006F56E6">
      <w:pPr>
        <w:tabs>
          <w:tab w:val="center" w:pos="4320"/>
          <w:tab w:val="right" w:pos="8640"/>
        </w:tabs>
        <w:bidi w:val="0"/>
        <w:spacing w:after="0" w:line="240" w:lineRule="auto"/>
        <w:jc w:val="center"/>
        <w:rPr>
          <w:rFonts w:ascii="Arabic Typesetting" w:eastAsia="Times New Roman" w:hAnsi="Arabic Typesetting" w:cs="Arabic Typesetting"/>
          <w:sz w:val="36"/>
          <w:szCs w:val="36"/>
          <w:rtl/>
        </w:rPr>
      </w:pPr>
      <w:r w:rsidRPr="006F56E6">
        <w:rPr>
          <w:rFonts w:ascii="Arabic Typesetting" w:eastAsia="Times New Roman" w:hAnsi="Arabic Typesetting" w:cs="Arabic Typesetting"/>
          <w:b/>
          <w:bCs/>
          <w:sz w:val="36"/>
          <w:szCs w:val="36"/>
          <w:rtl/>
        </w:rPr>
        <w:t>جامعة الطفيلة التقنية</w:t>
      </w:r>
    </w:p>
    <w:p w:rsidR="00DF66E3" w:rsidRPr="006F56E6" w:rsidRDefault="00DF66E3" w:rsidP="006F56E6">
      <w:pPr>
        <w:tabs>
          <w:tab w:val="center" w:pos="4320"/>
          <w:tab w:val="right" w:pos="8640"/>
        </w:tabs>
        <w:bidi w:val="0"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i/>
          <w:iCs/>
          <w:sz w:val="36"/>
          <w:szCs w:val="36"/>
          <w:rtl/>
          <w:lang w:bidi="ar-JO"/>
        </w:rPr>
      </w:pPr>
      <w:r w:rsidRPr="006F56E6">
        <w:rPr>
          <w:rFonts w:ascii="Arabic Typesetting" w:eastAsia="Times New Roman" w:hAnsi="Arabic Typesetting" w:cs="Arabic Typesetting"/>
          <w:b/>
          <w:bCs/>
          <w:i/>
          <w:iCs/>
          <w:sz w:val="36"/>
          <w:szCs w:val="36"/>
        </w:rPr>
        <w:t>Tafila Technical University</w:t>
      </w:r>
    </w:p>
    <w:p w:rsidR="00DF66E3" w:rsidRPr="00B64BA9" w:rsidRDefault="00DF66E3" w:rsidP="006F56E6">
      <w:pPr>
        <w:jc w:val="lowKashida"/>
        <w:rPr>
          <w:rFonts w:ascii="Arabic Typesetting" w:eastAsia="Times New Roman" w:hAnsi="Arabic Typesetting" w:cs="Arabic Typesetting"/>
          <w:b/>
          <w:bCs/>
          <w:sz w:val="16"/>
          <w:szCs w:val="16"/>
          <w:rtl/>
          <w:lang w:bidi="ar-JO"/>
        </w:rPr>
      </w:pPr>
    </w:p>
    <w:p w:rsidR="006F56E6" w:rsidRPr="006F56E6" w:rsidRDefault="00A21014" w:rsidP="00B64BA9">
      <w:pPr>
        <w:spacing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مواصفات </w:t>
      </w:r>
      <w:r w:rsidR="006F56E6" w:rsidRPr="006F56E6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>عطاء</w:t>
      </w:r>
    </w:p>
    <w:p w:rsidR="00A21014" w:rsidRPr="006F56E6" w:rsidRDefault="00283A4C" w:rsidP="00B64BA9">
      <w:pPr>
        <w:spacing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b/>
          <w:bCs/>
          <w:sz w:val="36"/>
          <w:szCs w:val="36"/>
          <w:rtl/>
        </w:rPr>
        <w:t>التأمين</w:t>
      </w:r>
      <w:r w:rsidR="00A21014" w:rsidRPr="006F56E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على حياة العاملين في </w:t>
      </w:r>
      <w:r w:rsidR="006F56E6" w:rsidRPr="006F56E6">
        <w:rPr>
          <w:rFonts w:ascii="Arabic Typesetting" w:hAnsi="Arabic Typesetting" w:cs="Arabic Typesetting"/>
          <w:b/>
          <w:bCs/>
          <w:sz w:val="36"/>
          <w:szCs w:val="36"/>
          <w:rtl/>
        </w:rPr>
        <w:t>الجامعة و</w:t>
      </w:r>
      <w:r w:rsidR="00A21014" w:rsidRPr="006F56E6">
        <w:rPr>
          <w:rFonts w:ascii="Arabic Typesetting" w:hAnsi="Arabic Typesetting" w:cs="Arabic Typesetting"/>
          <w:b/>
          <w:bCs/>
          <w:sz w:val="36"/>
          <w:szCs w:val="36"/>
          <w:rtl/>
        </w:rPr>
        <w:t>لمدة ثلاث سنوات</w:t>
      </w:r>
    </w:p>
    <w:p w:rsidR="00A21014" w:rsidRPr="006F56E6" w:rsidRDefault="00A21014" w:rsidP="006F56E6">
      <w:pPr>
        <w:ind w:right="-720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ترغب جامعة الطفيلة التقنية </w:t>
      </w:r>
      <w:r w:rsidR="00505AB3" w:rsidRPr="006F56E6">
        <w:rPr>
          <w:rFonts w:ascii="Arabic Typesetting" w:hAnsi="Arabic Typesetting" w:cs="Arabic Typesetting"/>
          <w:sz w:val="36"/>
          <w:szCs w:val="36"/>
          <w:rtl/>
        </w:rPr>
        <w:t>ب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على حياة العاملين في الجامعة وحسب الشروط التالية:</w:t>
      </w:r>
    </w:p>
    <w:p w:rsidR="00A34C8E" w:rsidRPr="006F56E6" w:rsidRDefault="00F92A19" w:rsidP="006F56E6">
      <w:pPr>
        <w:pStyle w:val="ListParagraph"/>
        <w:numPr>
          <w:ilvl w:val="0"/>
          <w:numId w:val="7"/>
        </w:numPr>
        <w:ind w:left="-5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="00A34C8E" w:rsidRPr="006F56E6">
        <w:rPr>
          <w:rFonts w:ascii="Arabic Typesetting" w:hAnsi="Arabic Typesetting" w:cs="Arabic Typesetting"/>
          <w:sz w:val="36"/>
          <w:szCs w:val="36"/>
          <w:rtl/>
        </w:rPr>
        <w:t xml:space="preserve"> هو </w:t>
      </w:r>
      <w:r w:rsidR="008F6E0C" w:rsidRPr="006F56E6">
        <w:rPr>
          <w:rFonts w:ascii="Arabic Typesetting" w:hAnsi="Arabic Typesetting" w:cs="Arabic Typesetting"/>
          <w:sz w:val="36"/>
          <w:szCs w:val="36"/>
          <w:rtl/>
        </w:rPr>
        <w:t>اتفاق</w:t>
      </w:r>
      <w:r w:rsidR="00A34C8E" w:rsidRPr="006F56E6">
        <w:rPr>
          <w:rFonts w:ascii="Arabic Typesetting" w:hAnsi="Arabic Typesetting" w:cs="Arabic Typesetting"/>
          <w:sz w:val="36"/>
          <w:szCs w:val="36"/>
          <w:rtl/>
        </w:rPr>
        <w:t xml:space="preserve"> بين شركة التأمين </w:t>
      </w:r>
      <w:r w:rsidR="008F6E0C" w:rsidRPr="006F56E6">
        <w:rPr>
          <w:rFonts w:ascii="Arabic Typesetting" w:hAnsi="Arabic Typesetting" w:cs="Arabic Typesetting"/>
          <w:sz w:val="36"/>
          <w:szCs w:val="36"/>
          <w:rtl/>
        </w:rPr>
        <w:t>والمستأمن</w:t>
      </w:r>
      <w:r w:rsidR="00A34C8E" w:rsidRPr="006F56E6">
        <w:rPr>
          <w:rFonts w:ascii="Arabic Typesetting" w:hAnsi="Arabic Typesetting" w:cs="Arabic Typesetting"/>
          <w:sz w:val="36"/>
          <w:szCs w:val="36"/>
          <w:rtl/>
        </w:rPr>
        <w:t>، تقوم بمقتضاه شركة التأمين بتغطية المخاطر المتفق عليها والمتعلقة بحياة المستأمن وتلك الناتجة عن وفاته أو إصابته مقابل قسط أو اقساط للمؤمن بالكيفية المتفق عليها.</w:t>
      </w:r>
    </w:p>
    <w:p w:rsidR="00122869" w:rsidRPr="006F56E6" w:rsidRDefault="00DF66E3" w:rsidP="006F56E6">
      <w:pPr>
        <w:pStyle w:val="ListParagraph"/>
        <w:numPr>
          <w:ilvl w:val="0"/>
          <w:numId w:val="7"/>
        </w:numPr>
        <w:ind w:left="-5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>يقصد</w:t>
      </w:r>
      <w:r w:rsidR="00122869"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580454" w:rsidRPr="006F56E6">
        <w:rPr>
          <w:rFonts w:ascii="Arabic Typesetting" w:hAnsi="Arabic Typesetting" w:cs="Arabic Typesetting"/>
          <w:sz w:val="36"/>
          <w:szCs w:val="36"/>
          <w:rtl/>
        </w:rPr>
        <w:t>بالتأمين</w:t>
      </w:r>
      <w:r w:rsidR="00122869" w:rsidRPr="006F56E6">
        <w:rPr>
          <w:rFonts w:ascii="Arabic Typesetting" w:hAnsi="Arabic Typesetting" w:cs="Arabic Typesetting"/>
          <w:sz w:val="36"/>
          <w:szCs w:val="36"/>
          <w:rtl/>
        </w:rPr>
        <w:t xml:space="preserve"> على الحياة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أو</w:t>
      </w:r>
      <w:r w:rsidR="00122869" w:rsidRPr="006F56E6">
        <w:rPr>
          <w:rFonts w:ascii="Arabic Typesetting" w:hAnsi="Arabic Typesetting" w:cs="Arabic Typesetting"/>
          <w:sz w:val="36"/>
          <w:szCs w:val="36"/>
          <w:rtl/>
        </w:rPr>
        <w:t xml:space="preserve"> وفاة العامل</w:t>
      </w:r>
      <w:r w:rsidR="00580454"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122869" w:rsidRPr="006F56E6">
        <w:rPr>
          <w:rFonts w:ascii="Arabic Typesetting" w:hAnsi="Arabic Typesetting" w:cs="Arabic Typesetting"/>
          <w:sz w:val="36"/>
          <w:szCs w:val="36"/>
          <w:rtl/>
        </w:rPr>
        <w:t>في جامعة الطفيلة التقنية</w:t>
      </w:r>
      <w:r w:rsidR="00580454"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122869" w:rsidRPr="006F56E6">
        <w:rPr>
          <w:rFonts w:ascii="Arabic Typesetting" w:hAnsi="Arabic Typesetting" w:cs="Arabic Typesetting"/>
          <w:sz w:val="36"/>
          <w:szCs w:val="36"/>
          <w:rtl/>
        </w:rPr>
        <w:t xml:space="preserve">ذلك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="00122869" w:rsidRPr="006F56E6">
        <w:rPr>
          <w:rFonts w:ascii="Arabic Typesetting" w:hAnsi="Arabic Typesetting" w:cs="Arabic Typesetting"/>
          <w:sz w:val="36"/>
          <w:szCs w:val="36"/>
          <w:rtl/>
        </w:rPr>
        <w:t xml:space="preserve"> التي تقوم به الجامعة على نفقتها لصالح العاملين فيها ولمن سيعمل فيها مستقبلاً.</w:t>
      </w:r>
    </w:p>
    <w:p w:rsidR="00122869" w:rsidRPr="006F56E6" w:rsidRDefault="00122869" w:rsidP="006F56E6">
      <w:pPr>
        <w:pStyle w:val="ListParagraph"/>
        <w:numPr>
          <w:ilvl w:val="0"/>
          <w:numId w:val="7"/>
        </w:numPr>
        <w:ind w:left="-5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العاملون بالجامعة المشمولون في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هم:</w:t>
      </w:r>
    </w:p>
    <w:p w:rsidR="00122869" w:rsidRPr="006F56E6" w:rsidRDefault="00122869" w:rsidP="006F56E6">
      <w:pPr>
        <w:pStyle w:val="ListParagraph"/>
        <w:numPr>
          <w:ilvl w:val="0"/>
          <w:numId w:val="8"/>
        </w:numPr>
        <w:ind w:left="226" w:right="-720" w:hanging="284"/>
        <w:jc w:val="lowKashida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b/>
          <w:bCs/>
          <w:sz w:val="36"/>
          <w:szCs w:val="36"/>
          <w:rtl/>
        </w:rPr>
        <w:t>أعضاء الهيئة التدريسية</w:t>
      </w:r>
      <w:r w:rsidR="00F12D9A" w:rsidRPr="006F56E6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37"/>
        <w:gridCol w:w="2217"/>
        <w:gridCol w:w="2935"/>
      </w:tblGrid>
      <w:tr w:rsidR="00F12D9A" w:rsidRPr="006F56E6" w:rsidTr="00DF66E3">
        <w:trPr>
          <w:jc w:val="center"/>
        </w:trPr>
        <w:tc>
          <w:tcPr>
            <w:tcW w:w="2237" w:type="dxa"/>
            <w:shd w:val="clear" w:color="auto" w:fill="808080" w:themeFill="background1" w:themeFillShade="80"/>
          </w:tcPr>
          <w:p w:rsidR="00F12D9A" w:rsidRPr="006F56E6" w:rsidRDefault="00F12D9A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الرتبة الأكاديمية</w:t>
            </w:r>
          </w:p>
        </w:tc>
        <w:tc>
          <w:tcPr>
            <w:tcW w:w="2217" w:type="dxa"/>
            <w:shd w:val="clear" w:color="auto" w:fill="808080" w:themeFill="background1" w:themeFillShade="80"/>
          </w:tcPr>
          <w:p w:rsidR="00F12D9A" w:rsidRPr="006F56E6" w:rsidRDefault="00F12D9A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العدد</w:t>
            </w:r>
          </w:p>
        </w:tc>
        <w:tc>
          <w:tcPr>
            <w:tcW w:w="2935" w:type="dxa"/>
            <w:shd w:val="clear" w:color="auto" w:fill="808080" w:themeFill="background1" w:themeFillShade="80"/>
          </w:tcPr>
          <w:p w:rsidR="00F12D9A" w:rsidRPr="006F56E6" w:rsidRDefault="00F12D9A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قيمة التأمين</w:t>
            </w:r>
          </w:p>
        </w:tc>
      </w:tr>
      <w:tr w:rsidR="00F12D9A" w:rsidRPr="006F56E6" w:rsidTr="00DF66E3">
        <w:trPr>
          <w:jc w:val="center"/>
        </w:trPr>
        <w:tc>
          <w:tcPr>
            <w:tcW w:w="2237" w:type="dxa"/>
          </w:tcPr>
          <w:p w:rsidR="00F12D9A" w:rsidRPr="006F56E6" w:rsidRDefault="00F12D9A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أستاذ</w:t>
            </w:r>
          </w:p>
        </w:tc>
        <w:tc>
          <w:tcPr>
            <w:tcW w:w="2217" w:type="dxa"/>
          </w:tcPr>
          <w:p w:rsidR="00F12D9A" w:rsidRPr="006F56E6" w:rsidRDefault="00AC2888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38</w:t>
            </w:r>
          </w:p>
        </w:tc>
        <w:tc>
          <w:tcPr>
            <w:tcW w:w="2935" w:type="dxa"/>
          </w:tcPr>
          <w:p w:rsidR="00F12D9A" w:rsidRPr="006F56E6" w:rsidRDefault="00F12D9A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12000</w:t>
            </w:r>
          </w:p>
        </w:tc>
      </w:tr>
      <w:tr w:rsidR="00F12D9A" w:rsidRPr="006F56E6" w:rsidTr="00DF66E3">
        <w:trPr>
          <w:jc w:val="center"/>
        </w:trPr>
        <w:tc>
          <w:tcPr>
            <w:tcW w:w="2237" w:type="dxa"/>
          </w:tcPr>
          <w:p w:rsidR="00F12D9A" w:rsidRPr="006F56E6" w:rsidRDefault="00F12D9A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أستاذ مشارك</w:t>
            </w:r>
          </w:p>
        </w:tc>
        <w:tc>
          <w:tcPr>
            <w:tcW w:w="2217" w:type="dxa"/>
          </w:tcPr>
          <w:p w:rsidR="00F12D9A" w:rsidRPr="006F56E6" w:rsidRDefault="0062540C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>89</w:t>
            </w:r>
          </w:p>
        </w:tc>
        <w:tc>
          <w:tcPr>
            <w:tcW w:w="2935" w:type="dxa"/>
          </w:tcPr>
          <w:p w:rsidR="00F12D9A" w:rsidRPr="006F56E6" w:rsidRDefault="00F12D9A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12000</w:t>
            </w:r>
          </w:p>
        </w:tc>
      </w:tr>
      <w:tr w:rsidR="00F12D9A" w:rsidRPr="006F56E6" w:rsidTr="00DF66E3">
        <w:trPr>
          <w:jc w:val="center"/>
        </w:trPr>
        <w:tc>
          <w:tcPr>
            <w:tcW w:w="2237" w:type="dxa"/>
          </w:tcPr>
          <w:p w:rsidR="00F12D9A" w:rsidRPr="006F56E6" w:rsidRDefault="00F12D9A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lastRenderedPageBreak/>
              <w:t>أستاذ مساعد</w:t>
            </w:r>
          </w:p>
        </w:tc>
        <w:tc>
          <w:tcPr>
            <w:tcW w:w="2217" w:type="dxa"/>
          </w:tcPr>
          <w:p w:rsidR="00F12D9A" w:rsidRPr="006F56E6" w:rsidRDefault="00AC2888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73</w:t>
            </w:r>
          </w:p>
        </w:tc>
        <w:tc>
          <w:tcPr>
            <w:tcW w:w="2935" w:type="dxa"/>
          </w:tcPr>
          <w:p w:rsidR="00F12D9A" w:rsidRPr="006F56E6" w:rsidRDefault="00F12D9A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12000</w:t>
            </w:r>
          </w:p>
        </w:tc>
      </w:tr>
      <w:tr w:rsidR="00F12D9A" w:rsidRPr="006F56E6" w:rsidTr="00DF66E3">
        <w:trPr>
          <w:jc w:val="center"/>
        </w:trPr>
        <w:tc>
          <w:tcPr>
            <w:tcW w:w="2237" w:type="dxa"/>
          </w:tcPr>
          <w:p w:rsidR="00F12D9A" w:rsidRPr="006F56E6" w:rsidRDefault="00F12D9A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مدرس</w:t>
            </w:r>
          </w:p>
        </w:tc>
        <w:tc>
          <w:tcPr>
            <w:tcW w:w="2217" w:type="dxa"/>
          </w:tcPr>
          <w:p w:rsidR="00F12D9A" w:rsidRPr="006F56E6" w:rsidRDefault="0062540C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>46</w:t>
            </w:r>
          </w:p>
        </w:tc>
        <w:tc>
          <w:tcPr>
            <w:tcW w:w="2935" w:type="dxa"/>
          </w:tcPr>
          <w:p w:rsidR="00F12D9A" w:rsidRPr="006F56E6" w:rsidRDefault="00F12D9A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9000</w:t>
            </w:r>
          </w:p>
        </w:tc>
      </w:tr>
      <w:tr w:rsidR="00F12D9A" w:rsidRPr="006F56E6" w:rsidTr="00DF66E3">
        <w:trPr>
          <w:jc w:val="center"/>
        </w:trPr>
        <w:tc>
          <w:tcPr>
            <w:tcW w:w="2237" w:type="dxa"/>
          </w:tcPr>
          <w:p w:rsidR="00F12D9A" w:rsidRPr="006F56E6" w:rsidRDefault="00F12D9A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مدرس مساعد</w:t>
            </w:r>
          </w:p>
        </w:tc>
        <w:tc>
          <w:tcPr>
            <w:tcW w:w="2217" w:type="dxa"/>
          </w:tcPr>
          <w:p w:rsidR="00F12D9A" w:rsidRPr="006F56E6" w:rsidRDefault="00B81AB3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>10</w:t>
            </w:r>
          </w:p>
        </w:tc>
        <w:tc>
          <w:tcPr>
            <w:tcW w:w="2935" w:type="dxa"/>
          </w:tcPr>
          <w:p w:rsidR="00F12D9A" w:rsidRPr="006F56E6" w:rsidRDefault="00F12D9A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8000</w:t>
            </w:r>
          </w:p>
        </w:tc>
      </w:tr>
      <w:tr w:rsidR="00F12D9A" w:rsidRPr="006F56E6" w:rsidTr="00DF66E3">
        <w:trPr>
          <w:jc w:val="center"/>
        </w:trPr>
        <w:tc>
          <w:tcPr>
            <w:tcW w:w="2237" w:type="dxa"/>
          </w:tcPr>
          <w:p w:rsidR="00F12D9A" w:rsidRPr="006F56E6" w:rsidRDefault="00F12D9A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موفدين</w:t>
            </w:r>
          </w:p>
        </w:tc>
        <w:tc>
          <w:tcPr>
            <w:tcW w:w="2217" w:type="dxa"/>
          </w:tcPr>
          <w:p w:rsidR="00F12D9A" w:rsidRPr="006F56E6" w:rsidRDefault="00B81AB3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>0</w:t>
            </w:r>
          </w:p>
        </w:tc>
        <w:tc>
          <w:tcPr>
            <w:tcW w:w="2935" w:type="dxa"/>
          </w:tcPr>
          <w:p w:rsidR="00F12D9A" w:rsidRPr="006F56E6" w:rsidRDefault="00EC3D68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5000</w:t>
            </w:r>
          </w:p>
        </w:tc>
      </w:tr>
      <w:tr w:rsidR="0040663B" w:rsidRPr="006F56E6" w:rsidTr="00DF66E3">
        <w:trPr>
          <w:jc w:val="center"/>
        </w:trPr>
        <w:tc>
          <w:tcPr>
            <w:tcW w:w="2237" w:type="dxa"/>
          </w:tcPr>
          <w:p w:rsidR="0040663B" w:rsidRPr="0040663B" w:rsidRDefault="0040663B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40663B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المجموع</w:t>
            </w:r>
          </w:p>
        </w:tc>
        <w:tc>
          <w:tcPr>
            <w:tcW w:w="2217" w:type="dxa"/>
          </w:tcPr>
          <w:p w:rsidR="0040663B" w:rsidRPr="0040663B" w:rsidRDefault="0040663B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256</w:t>
            </w:r>
          </w:p>
        </w:tc>
        <w:tc>
          <w:tcPr>
            <w:tcW w:w="2935" w:type="dxa"/>
          </w:tcPr>
          <w:p w:rsidR="0040663B" w:rsidRPr="0040663B" w:rsidRDefault="0040663B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</w:p>
        </w:tc>
      </w:tr>
    </w:tbl>
    <w:p w:rsidR="006F56E6" w:rsidRPr="00B85293" w:rsidRDefault="006F56E6" w:rsidP="006F56E6">
      <w:pPr>
        <w:pStyle w:val="ListParagraph"/>
        <w:ind w:left="0" w:right="-720"/>
        <w:jc w:val="lowKashida"/>
        <w:rPr>
          <w:rFonts w:ascii="Arabic Typesetting" w:hAnsi="Arabic Typesetting" w:cs="Arabic Typesetting"/>
          <w:sz w:val="18"/>
          <w:szCs w:val="18"/>
        </w:rPr>
      </w:pPr>
    </w:p>
    <w:p w:rsidR="00122869" w:rsidRPr="006F56E6" w:rsidRDefault="00122869" w:rsidP="006F56E6">
      <w:pPr>
        <w:pStyle w:val="ListParagraph"/>
        <w:numPr>
          <w:ilvl w:val="0"/>
          <w:numId w:val="8"/>
        </w:numPr>
        <w:ind w:left="226" w:right="-720" w:hanging="284"/>
        <w:jc w:val="lowKashida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b/>
          <w:bCs/>
          <w:sz w:val="36"/>
          <w:szCs w:val="36"/>
          <w:rtl/>
        </w:rPr>
        <w:t>أعضاء الهيئة الإدارية</w:t>
      </w:r>
      <w:r w:rsidR="00F12D9A" w:rsidRPr="006F56E6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2226"/>
        <w:gridCol w:w="2976"/>
      </w:tblGrid>
      <w:tr w:rsidR="00DA0FE2" w:rsidRPr="006F56E6" w:rsidTr="00B64BA9">
        <w:trPr>
          <w:jc w:val="center"/>
        </w:trPr>
        <w:tc>
          <w:tcPr>
            <w:tcW w:w="2035" w:type="dxa"/>
            <w:shd w:val="clear" w:color="auto" w:fill="808080" w:themeFill="background1" w:themeFillShade="80"/>
          </w:tcPr>
          <w:p w:rsidR="00DA0FE2" w:rsidRPr="006F56E6" w:rsidRDefault="00DA0FE2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الدرجة</w:t>
            </w:r>
          </w:p>
        </w:tc>
        <w:tc>
          <w:tcPr>
            <w:tcW w:w="2226" w:type="dxa"/>
            <w:shd w:val="clear" w:color="auto" w:fill="808080" w:themeFill="background1" w:themeFillShade="80"/>
          </w:tcPr>
          <w:p w:rsidR="00DA0FE2" w:rsidRPr="006F56E6" w:rsidRDefault="00DA0FE2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العدد</w:t>
            </w:r>
          </w:p>
        </w:tc>
        <w:tc>
          <w:tcPr>
            <w:tcW w:w="2976" w:type="dxa"/>
            <w:shd w:val="clear" w:color="auto" w:fill="808080" w:themeFill="background1" w:themeFillShade="80"/>
          </w:tcPr>
          <w:p w:rsidR="00DA0FE2" w:rsidRPr="006F56E6" w:rsidRDefault="00DA0FE2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قيمة التأمين</w:t>
            </w:r>
          </w:p>
        </w:tc>
      </w:tr>
      <w:tr w:rsidR="00DA0FE2" w:rsidRPr="006F56E6" w:rsidTr="00B64BA9">
        <w:trPr>
          <w:jc w:val="center"/>
        </w:trPr>
        <w:tc>
          <w:tcPr>
            <w:tcW w:w="2035" w:type="dxa"/>
          </w:tcPr>
          <w:p w:rsidR="00DA0FE2" w:rsidRPr="006F56E6" w:rsidRDefault="00DA0FE2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أولى</w:t>
            </w:r>
          </w:p>
        </w:tc>
        <w:tc>
          <w:tcPr>
            <w:tcW w:w="2226" w:type="dxa"/>
          </w:tcPr>
          <w:p w:rsidR="00DA0FE2" w:rsidRPr="006F56E6" w:rsidRDefault="00B64BA9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</w:t>
            </w:r>
          </w:p>
        </w:tc>
        <w:tc>
          <w:tcPr>
            <w:tcW w:w="2976" w:type="dxa"/>
          </w:tcPr>
          <w:p w:rsidR="00DA0FE2" w:rsidRPr="006F56E6" w:rsidRDefault="00DA0FE2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10000</w:t>
            </w:r>
          </w:p>
        </w:tc>
      </w:tr>
      <w:tr w:rsidR="00DA0FE2" w:rsidRPr="006F56E6" w:rsidTr="00B64BA9">
        <w:trPr>
          <w:jc w:val="center"/>
        </w:trPr>
        <w:tc>
          <w:tcPr>
            <w:tcW w:w="2035" w:type="dxa"/>
          </w:tcPr>
          <w:p w:rsidR="00DA0FE2" w:rsidRPr="006F56E6" w:rsidRDefault="00DA0FE2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ثانية</w:t>
            </w:r>
          </w:p>
        </w:tc>
        <w:tc>
          <w:tcPr>
            <w:tcW w:w="2226" w:type="dxa"/>
          </w:tcPr>
          <w:p w:rsidR="00DA0FE2" w:rsidRPr="006F56E6" w:rsidRDefault="00B64BA9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60</w:t>
            </w:r>
          </w:p>
        </w:tc>
        <w:tc>
          <w:tcPr>
            <w:tcW w:w="2976" w:type="dxa"/>
          </w:tcPr>
          <w:p w:rsidR="00DA0FE2" w:rsidRPr="006F56E6" w:rsidRDefault="00DA0FE2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9000</w:t>
            </w:r>
          </w:p>
        </w:tc>
      </w:tr>
      <w:tr w:rsidR="00DA0FE2" w:rsidRPr="006F56E6" w:rsidTr="00B64BA9">
        <w:trPr>
          <w:jc w:val="center"/>
        </w:trPr>
        <w:tc>
          <w:tcPr>
            <w:tcW w:w="2035" w:type="dxa"/>
          </w:tcPr>
          <w:p w:rsidR="00DA0FE2" w:rsidRPr="006F56E6" w:rsidRDefault="00DA0FE2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ثالثة</w:t>
            </w:r>
          </w:p>
        </w:tc>
        <w:tc>
          <w:tcPr>
            <w:tcW w:w="2226" w:type="dxa"/>
          </w:tcPr>
          <w:p w:rsidR="00DA0FE2" w:rsidRPr="006F56E6" w:rsidRDefault="00B64BA9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171</w:t>
            </w:r>
          </w:p>
        </w:tc>
        <w:tc>
          <w:tcPr>
            <w:tcW w:w="2976" w:type="dxa"/>
          </w:tcPr>
          <w:p w:rsidR="00DA0FE2" w:rsidRPr="006F56E6" w:rsidRDefault="00DA0FE2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8000</w:t>
            </w:r>
          </w:p>
        </w:tc>
      </w:tr>
      <w:tr w:rsidR="00DA0FE2" w:rsidRPr="006F56E6" w:rsidTr="00B64BA9">
        <w:trPr>
          <w:jc w:val="center"/>
        </w:trPr>
        <w:tc>
          <w:tcPr>
            <w:tcW w:w="2035" w:type="dxa"/>
          </w:tcPr>
          <w:p w:rsidR="00DA0FE2" w:rsidRPr="006F56E6" w:rsidRDefault="00DA0FE2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رابعة</w:t>
            </w:r>
          </w:p>
        </w:tc>
        <w:tc>
          <w:tcPr>
            <w:tcW w:w="2226" w:type="dxa"/>
          </w:tcPr>
          <w:p w:rsidR="00DA0FE2" w:rsidRPr="006F56E6" w:rsidRDefault="00B64BA9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365</w:t>
            </w:r>
          </w:p>
        </w:tc>
        <w:tc>
          <w:tcPr>
            <w:tcW w:w="2976" w:type="dxa"/>
          </w:tcPr>
          <w:p w:rsidR="00DA0FE2" w:rsidRPr="006F56E6" w:rsidRDefault="00DA0FE2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8000</w:t>
            </w:r>
          </w:p>
        </w:tc>
      </w:tr>
      <w:tr w:rsidR="00DA0FE2" w:rsidRPr="006F56E6" w:rsidTr="00B64BA9">
        <w:trPr>
          <w:jc w:val="center"/>
        </w:trPr>
        <w:tc>
          <w:tcPr>
            <w:tcW w:w="2035" w:type="dxa"/>
          </w:tcPr>
          <w:p w:rsidR="00DA0FE2" w:rsidRPr="006F56E6" w:rsidRDefault="00DA0FE2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خامسة</w:t>
            </w:r>
          </w:p>
        </w:tc>
        <w:tc>
          <w:tcPr>
            <w:tcW w:w="2226" w:type="dxa"/>
          </w:tcPr>
          <w:p w:rsidR="00DA0FE2" w:rsidRPr="006F56E6" w:rsidRDefault="00B64BA9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</w:t>
            </w:r>
          </w:p>
        </w:tc>
        <w:tc>
          <w:tcPr>
            <w:tcW w:w="2976" w:type="dxa"/>
          </w:tcPr>
          <w:p w:rsidR="00DA0FE2" w:rsidRPr="006F56E6" w:rsidRDefault="00DA0FE2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7000</w:t>
            </w:r>
          </w:p>
        </w:tc>
      </w:tr>
      <w:tr w:rsidR="00DA0FE2" w:rsidRPr="006F56E6" w:rsidTr="00B64BA9">
        <w:trPr>
          <w:jc w:val="center"/>
        </w:trPr>
        <w:tc>
          <w:tcPr>
            <w:tcW w:w="2035" w:type="dxa"/>
          </w:tcPr>
          <w:p w:rsidR="00DA0FE2" w:rsidRPr="006F56E6" w:rsidRDefault="00DA0FE2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سادسة</w:t>
            </w:r>
          </w:p>
        </w:tc>
        <w:tc>
          <w:tcPr>
            <w:tcW w:w="2226" w:type="dxa"/>
          </w:tcPr>
          <w:p w:rsidR="00DA0FE2" w:rsidRPr="006F56E6" w:rsidRDefault="00B64BA9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31</w:t>
            </w:r>
          </w:p>
        </w:tc>
        <w:tc>
          <w:tcPr>
            <w:tcW w:w="2976" w:type="dxa"/>
          </w:tcPr>
          <w:p w:rsidR="00DA0FE2" w:rsidRPr="006F56E6" w:rsidRDefault="00DA0FE2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6000</w:t>
            </w:r>
          </w:p>
        </w:tc>
      </w:tr>
      <w:tr w:rsidR="00DA0FE2" w:rsidRPr="006F56E6" w:rsidTr="00B64BA9">
        <w:trPr>
          <w:jc w:val="center"/>
        </w:trPr>
        <w:tc>
          <w:tcPr>
            <w:tcW w:w="2035" w:type="dxa"/>
          </w:tcPr>
          <w:p w:rsidR="00DA0FE2" w:rsidRPr="006F56E6" w:rsidRDefault="00B64BA9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سابعة</w:t>
            </w:r>
          </w:p>
        </w:tc>
        <w:tc>
          <w:tcPr>
            <w:tcW w:w="2226" w:type="dxa"/>
          </w:tcPr>
          <w:p w:rsidR="00DA0FE2" w:rsidRPr="006F56E6" w:rsidRDefault="00B64BA9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</w:t>
            </w:r>
          </w:p>
        </w:tc>
        <w:tc>
          <w:tcPr>
            <w:tcW w:w="2976" w:type="dxa"/>
          </w:tcPr>
          <w:p w:rsidR="00DA0FE2" w:rsidRPr="006F56E6" w:rsidRDefault="00DA0FE2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5000</w:t>
            </w:r>
          </w:p>
        </w:tc>
      </w:tr>
      <w:tr w:rsidR="00DA0FE2" w:rsidRPr="006F56E6" w:rsidTr="00B64BA9">
        <w:trPr>
          <w:jc w:val="center"/>
        </w:trPr>
        <w:tc>
          <w:tcPr>
            <w:tcW w:w="2035" w:type="dxa"/>
          </w:tcPr>
          <w:p w:rsidR="00DA0FE2" w:rsidRPr="006F56E6" w:rsidRDefault="00DA0FE2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مياومة</w:t>
            </w:r>
          </w:p>
        </w:tc>
        <w:tc>
          <w:tcPr>
            <w:tcW w:w="2226" w:type="dxa"/>
          </w:tcPr>
          <w:p w:rsidR="00DA0FE2" w:rsidRPr="006F56E6" w:rsidRDefault="00E51540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</w:t>
            </w:r>
          </w:p>
        </w:tc>
        <w:tc>
          <w:tcPr>
            <w:tcW w:w="2976" w:type="dxa"/>
          </w:tcPr>
          <w:p w:rsidR="00DA0FE2" w:rsidRPr="006F56E6" w:rsidRDefault="00DA0FE2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5000</w:t>
            </w:r>
          </w:p>
        </w:tc>
      </w:tr>
      <w:tr w:rsidR="00DA0FE2" w:rsidRPr="006F56E6" w:rsidTr="00B64BA9">
        <w:trPr>
          <w:jc w:val="center"/>
        </w:trPr>
        <w:tc>
          <w:tcPr>
            <w:tcW w:w="2035" w:type="dxa"/>
          </w:tcPr>
          <w:p w:rsidR="00DA0FE2" w:rsidRPr="006F56E6" w:rsidRDefault="00B64BA9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عقود خاصة</w:t>
            </w:r>
          </w:p>
        </w:tc>
        <w:tc>
          <w:tcPr>
            <w:tcW w:w="2226" w:type="dxa"/>
          </w:tcPr>
          <w:p w:rsidR="00DA0FE2" w:rsidRPr="006F56E6" w:rsidRDefault="00B64BA9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</w:t>
            </w:r>
          </w:p>
        </w:tc>
        <w:tc>
          <w:tcPr>
            <w:tcW w:w="2976" w:type="dxa"/>
          </w:tcPr>
          <w:p w:rsidR="00DA0FE2" w:rsidRPr="006F56E6" w:rsidRDefault="00DA0FE2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56E6">
              <w:rPr>
                <w:rFonts w:ascii="Arabic Typesetting" w:hAnsi="Arabic Typesetting" w:cs="Arabic Typesetting"/>
                <w:sz w:val="36"/>
                <w:szCs w:val="36"/>
                <w:rtl/>
              </w:rPr>
              <w:t>5000</w:t>
            </w:r>
          </w:p>
        </w:tc>
      </w:tr>
      <w:tr w:rsidR="0040663B" w:rsidRPr="006F56E6" w:rsidTr="00B64BA9">
        <w:trPr>
          <w:jc w:val="center"/>
        </w:trPr>
        <w:tc>
          <w:tcPr>
            <w:tcW w:w="2035" w:type="dxa"/>
          </w:tcPr>
          <w:p w:rsidR="0040663B" w:rsidRPr="0040663B" w:rsidRDefault="0040663B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40663B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المجموع</w:t>
            </w:r>
          </w:p>
        </w:tc>
        <w:tc>
          <w:tcPr>
            <w:tcW w:w="2226" w:type="dxa"/>
          </w:tcPr>
          <w:p w:rsidR="0040663B" w:rsidRPr="0040663B" w:rsidRDefault="0040663B" w:rsidP="00AC2888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40663B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63</w:t>
            </w:r>
            <w:r w:rsidR="00AC2888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2976" w:type="dxa"/>
          </w:tcPr>
          <w:p w:rsidR="0040663B" w:rsidRPr="0040663B" w:rsidRDefault="0040663B" w:rsidP="006F56E6">
            <w:pPr>
              <w:pStyle w:val="ListParagraph"/>
              <w:ind w:left="0" w:right="-720"/>
              <w:jc w:val="low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</w:p>
        </w:tc>
      </w:tr>
    </w:tbl>
    <w:p w:rsidR="00F12D9A" w:rsidRPr="00B85293" w:rsidRDefault="00F12D9A" w:rsidP="006F56E6">
      <w:pPr>
        <w:pStyle w:val="ListParagraph"/>
        <w:ind w:left="0" w:right="-720"/>
        <w:jc w:val="lowKashida"/>
        <w:rPr>
          <w:rFonts w:ascii="Arabic Typesetting" w:hAnsi="Arabic Typesetting" w:cs="Arabic Typesetting"/>
          <w:sz w:val="16"/>
          <w:szCs w:val="16"/>
        </w:rPr>
      </w:pPr>
    </w:p>
    <w:p w:rsidR="00122869" w:rsidRPr="006F56E6" w:rsidRDefault="00122869" w:rsidP="006F56E6">
      <w:pPr>
        <w:pStyle w:val="ListParagraph"/>
        <w:numPr>
          <w:ilvl w:val="0"/>
          <w:numId w:val="8"/>
        </w:numPr>
        <w:ind w:left="226" w:right="-720" w:hanging="284"/>
        <w:jc w:val="lowKashida"/>
        <w:rPr>
          <w:rFonts w:ascii="Arabic Typesetting" w:hAnsi="Arabic Typesetting" w:cs="Arabic Typesetting"/>
          <w:b/>
          <w:bCs/>
          <w:sz w:val="36"/>
          <w:szCs w:val="36"/>
        </w:rPr>
      </w:pPr>
      <w:r w:rsidRPr="006F56E6">
        <w:rPr>
          <w:rFonts w:ascii="Arabic Typesetting" w:hAnsi="Arabic Typesetting" w:cs="Arabic Typesetting"/>
          <w:b/>
          <w:bCs/>
          <w:sz w:val="36"/>
          <w:szCs w:val="36"/>
          <w:rtl/>
        </w:rPr>
        <w:t>الأعداد اعلاه قابلة للزيادة والنقصان حسب سجلات الجامعة الرسمية</w:t>
      </w:r>
      <w:r w:rsidR="00580454" w:rsidRPr="006F56E6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DF66E3" w:rsidRPr="00B85293" w:rsidRDefault="00DF66E3" w:rsidP="006F56E6">
      <w:pPr>
        <w:pStyle w:val="ListParagraph"/>
        <w:ind w:left="0" w:right="-720"/>
        <w:jc w:val="lowKashida"/>
        <w:rPr>
          <w:rFonts w:ascii="Arabic Typesetting" w:hAnsi="Arabic Typesetting" w:cs="Arabic Typesetting"/>
          <w:sz w:val="10"/>
          <w:szCs w:val="10"/>
        </w:rPr>
      </w:pPr>
    </w:p>
    <w:p w:rsidR="00122869" w:rsidRPr="006F56E6" w:rsidRDefault="00122869" w:rsidP="006F56E6">
      <w:pPr>
        <w:pStyle w:val="ListParagraph"/>
        <w:numPr>
          <w:ilvl w:val="0"/>
          <w:numId w:val="7"/>
        </w:numPr>
        <w:ind w:left="-5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يكون من المفهوم والمتفق عليه صراحة: أن عقد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يغطي كافة الموظفين </w:t>
      </w:r>
      <w:r w:rsidR="00580454" w:rsidRPr="006F56E6">
        <w:rPr>
          <w:rFonts w:ascii="Arabic Typesetting" w:hAnsi="Arabic Typesetting" w:cs="Arabic Typesetting"/>
          <w:sz w:val="36"/>
          <w:szCs w:val="36"/>
          <w:rtl/>
        </w:rPr>
        <w:t>ومستخدمي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الجامعة داخل وخارج المملكة الأردنية الهاشمية، خلال وبعد ساعات العمل وعلى مدار </w:t>
      </w:r>
      <w:r w:rsidR="00B5177B" w:rsidRPr="006F56E6">
        <w:rPr>
          <w:rFonts w:ascii="Arabic Typesetting" w:hAnsi="Arabic Typesetting" w:cs="Arabic Typesetting"/>
          <w:sz w:val="36"/>
          <w:szCs w:val="36"/>
          <w:rtl/>
        </w:rPr>
        <w:t>الأربع والعشرين ساعة.</w:t>
      </w:r>
    </w:p>
    <w:p w:rsidR="00B5177B" w:rsidRPr="006F56E6" w:rsidRDefault="00B5177B" w:rsidP="006F56E6">
      <w:pPr>
        <w:pStyle w:val="ListParagraph"/>
        <w:numPr>
          <w:ilvl w:val="0"/>
          <w:numId w:val="7"/>
        </w:numPr>
        <w:ind w:left="-5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يغطي </w:t>
      </w:r>
      <w:r w:rsidR="00580454" w:rsidRPr="006F56E6">
        <w:rPr>
          <w:rFonts w:ascii="Arabic Typesetting" w:hAnsi="Arabic Typesetting" w:cs="Arabic Typesetting"/>
          <w:sz w:val="36"/>
          <w:szCs w:val="36"/>
          <w:rtl/>
        </w:rPr>
        <w:t xml:space="preserve">التأمين 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العاملين المتفرغين في الجامعة بما فيهم العمال والمستخدمين </w:t>
      </w:r>
      <w:r w:rsidR="00580454" w:rsidRPr="006F56E6">
        <w:rPr>
          <w:rFonts w:ascii="Arabic Typesetting" w:hAnsi="Arabic Typesetting" w:cs="Arabic Typesetting"/>
          <w:sz w:val="36"/>
          <w:szCs w:val="36"/>
          <w:rtl/>
        </w:rPr>
        <w:t>بالأجرة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اليومية والموفدين والعاملين في الجامعة </w:t>
      </w:r>
      <w:r w:rsidR="00580454" w:rsidRPr="006F56E6">
        <w:rPr>
          <w:rFonts w:ascii="Arabic Typesetting" w:hAnsi="Arabic Typesetting" w:cs="Arabic Typesetting"/>
          <w:sz w:val="36"/>
          <w:szCs w:val="36"/>
          <w:rtl/>
        </w:rPr>
        <w:t>والمنتدبين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والمعارين من الجامعة واليها والمجازين إجازة تفرغ علمي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بدون راتب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580454" w:rsidRPr="006F56E6">
        <w:rPr>
          <w:rFonts w:ascii="Arabic Typesetting" w:hAnsi="Arabic Typesetting" w:cs="Arabic Typesetting"/>
          <w:sz w:val="36"/>
          <w:szCs w:val="36"/>
          <w:rtl/>
        </w:rPr>
        <w:t>إجازة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رسمية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أي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ة إجازة </w:t>
      </w:r>
      <w:r w:rsidR="00580454" w:rsidRPr="006F56E6">
        <w:rPr>
          <w:rFonts w:ascii="Arabic Typesetting" w:hAnsi="Arabic Typesetting" w:cs="Arabic Typesetting"/>
          <w:sz w:val="36"/>
          <w:szCs w:val="36"/>
          <w:rtl/>
        </w:rPr>
        <w:t>أخرى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مهما كان نوعها، كما 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lastRenderedPageBreak/>
        <w:t xml:space="preserve">يشمل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الاشخاص الذين يلتحقون بالعمل مستقبلاً ويعتبر </w:t>
      </w:r>
      <w:r w:rsidR="008F6E0C" w:rsidRPr="006F56E6">
        <w:rPr>
          <w:rFonts w:ascii="Arabic Typesetting" w:hAnsi="Arabic Typesetting" w:cs="Arabic Typesetting"/>
          <w:sz w:val="36"/>
          <w:szCs w:val="36"/>
          <w:rtl/>
        </w:rPr>
        <w:t>اشتراكهم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من تاريخ </w:t>
      </w:r>
      <w:r w:rsidR="00313D59" w:rsidRPr="006F56E6">
        <w:rPr>
          <w:rFonts w:ascii="Arabic Typesetting" w:hAnsi="Arabic Typesetting" w:cs="Arabic Typesetting"/>
          <w:sz w:val="36"/>
          <w:szCs w:val="36"/>
          <w:rtl/>
        </w:rPr>
        <w:t>تعيينهم</w:t>
      </w:r>
    </w:p>
    <w:p w:rsidR="00B5177B" w:rsidRPr="006F56E6" w:rsidRDefault="00B5177B" w:rsidP="006F56E6">
      <w:pPr>
        <w:pStyle w:val="ListParagraph"/>
        <w:numPr>
          <w:ilvl w:val="0"/>
          <w:numId w:val="7"/>
        </w:numPr>
        <w:ind w:left="-5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يشمل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على حياة العاملين بالجامعة التغطيات التالية:</w:t>
      </w:r>
    </w:p>
    <w:p w:rsidR="00580454" w:rsidRPr="006F56E6" w:rsidRDefault="00B5177B" w:rsidP="006F56E6">
      <w:pPr>
        <w:pStyle w:val="ListParagraph"/>
        <w:numPr>
          <w:ilvl w:val="0"/>
          <w:numId w:val="9"/>
        </w:numPr>
        <w:ind w:left="36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التعويض بقيمة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عن منفعة الوفاة مهما </w:t>
      </w:r>
      <w:r w:rsidR="007D768C" w:rsidRPr="006F56E6">
        <w:rPr>
          <w:rFonts w:ascii="Arabic Typesetting" w:hAnsi="Arabic Typesetting" w:cs="Arabic Typesetting"/>
          <w:sz w:val="36"/>
          <w:szCs w:val="36"/>
          <w:rtl/>
        </w:rPr>
        <w:t>كان سببها</w:t>
      </w:r>
      <w:r w:rsidR="00580454" w:rsidRPr="006F56E6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580454" w:rsidRPr="006F56E6" w:rsidRDefault="007D768C" w:rsidP="006F56E6">
      <w:pPr>
        <w:pStyle w:val="ListParagraph"/>
        <w:numPr>
          <w:ilvl w:val="0"/>
          <w:numId w:val="9"/>
        </w:numPr>
        <w:ind w:left="36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التعويض </w:t>
      </w:r>
      <w:r w:rsidR="00580454" w:rsidRPr="006F56E6">
        <w:rPr>
          <w:rFonts w:ascii="Arabic Typesetting" w:hAnsi="Arabic Typesetting" w:cs="Arabic Typesetting"/>
          <w:sz w:val="36"/>
          <w:szCs w:val="36"/>
          <w:rtl/>
        </w:rPr>
        <w:t>بضعف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قيمة مبلغ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عن منفعة الوفاة الناتجة عن حادث مهما </w:t>
      </w:r>
      <w:r w:rsidR="00CC4516" w:rsidRPr="006F56E6">
        <w:rPr>
          <w:rFonts w:ascii="Arabic Typesetting" w:hAnsi="Arabic Typesetting" w:cs="Arabic Typesetting"/>
          <w:sz w:val="36"/>
          <w:szCs w:val="36"/>
          <w:rtl/>
        </w:rPr>
        <w:t>كان سببه</w:t>
      </w:r>
      <w:r w:rsidR="00580454" w:rsidRPr="006F56E6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580454" w:rsidRPr="006F56E6" w:rsidRDefault="00CC4516" w:rsidP="006F56E6">
      <w:pPr>
        <w:pStyle w:val="ListParagraph"/>
        <w:numPr>
          <w:ilvl w:val="0"/>
          <w:numId w:val="9"/>
        </w:numPr>
        <w:ind w:left="36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التعويض بقيمة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عن منفعة العجز الكلي الدائم الناتج عن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أي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حادث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أي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مرض مهما كان وقت حصول المرض(سواء كان تاريخ حصول المرض قبل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بعد تاريخ سريان عقد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>-</w:t>
      </w:r>
      <w:r w:rsidR="00580454"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>بمعنى مهما كان سببه)</w:t>
      </w:r>
      <w:r w:rsidR="00580454" w:rsidRPr="006F56E6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580454" w:rsidRPr="006F56E6" w:rsidRDefault="00CC4516" w:rsidP="006F56E6">
      <w:pPr>
        <w:pStyle w:val="ListParagraph"/>
        <w:numPr>
          <w:ilvl w:val="0"/>
          <w:numId w:val="9"/>
        </w:numPr>
        <w:ind w:left="368"/>
        <w:jc w:val="lowKashida"/>
        <w:rPr>
          <w:rFonts w:ascii="Arabic Typesetting" w:hAnsi="Arabic Typesetting" w:cs="Arabic Typesetting"/>
          <w:sz w:val="36"/>
          <w:szCs w:val="36"/>
          <w:u w:val="single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يكون التعويض بنسبة مئوية من قيمة مبلغ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عن من</w:t>
      </w:r>
      <w:r w:rsidR="00580454" w:rsidRPr="006F56E6">
        <w:rPr>
          <w:rFonts w:ascii="Arabic Typesetting" w:hAnsi="Arabic Typesetting" w:cs="Arabic Typesetting"/>
          <w:sz w:val="36"/>
          <w:szCs w:val="36"/>
          <w:rtl/>
        </w:rPr>
        <w:t>ف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عة </w:t>
      </w:r>
      <w:r w:rsidR="00580454" w:rsidRPr="006F56E6">
        <w:rPr>
          <w:rFonts w:ascii="Arabic Typesetting" w:hAnsi="Arabic Typesetting" w:cs="Arabic Typesetting"/>
          <w:sz w:val="36"/>
          <w:szCs w:val="36"/>
          <w:rtl/>
        </w:rPr>
        <w:t>العجز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الجزئي الدائم الناتج عن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أي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580454" w:rsidRPr="006F56E6">
        <w:rPr>
          <w:rFonts w:ascii="Arabic Typesetting" w:hAnsi="Arabic Typesetting" w:cs="Arabic Typesetting"/>
          <w:sz w:val="36"/>
          <w:szCs w:val="36"/>
          <w:rtl/>
        </w:rPr>
        <w:t>حادث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أي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مرض مهما كان وقت حصول المرض (سواء كان تاريخ حصول المرض قبل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أو</w:t>
      </w:r>
      <w:r w:rsidR="00E024C0"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بعد سريان عقد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>-</w:t>
      </w:r>
      <w:r w:rsidR="00580454"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>بمعنى مهما كان سببه)</w:t>
      </w:r>
      <w:r w:rsidR="00BA1F73"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BA1F73" w:rsidRPr="006F56E6">
        <w:rPr>
          <w:rFonts w:ascii="Arabic Typesetting" w:hAnsi="Arabic Typesetting" w:cs="Arabic Typesetting"/>
          <w:sz w:val="36"/>
          <w:szCs w:val="36"/>
          <w:u w:val="single"/>
          <w:rtl/>
        </w:rPr>
        <w:t xml:space="preserve">ويتم تحديد نسبة </w:t>
      </w:r>
      <w:r w:rsidR="00E024C0" w:rsidRPr="006F56E6">
        <w:rPr>
          <w:rFonts w:ascii="Arabic Typesetting" w:hAnsi="Arabic Typesetting" w:cs="Arabic Typesetting"/>
          <w:sz w:val="36"/>
          <w:szCs w:val="36"/>
          <w:u w:val="single"/>
          <w:rtl/>
        </w:rPr>
        <w:t>العجز حسب</w:t>
      </w:r>
      <w:r w:rsidR="00BA1F73" w:rsidRPr="006F56E6">
        <w:rPr>
          <w:rFonts w:ascii="Arabic Typesetting" w:hAnsi="Arabic Typesetting" w:cs="Arabic Typesetting"/>
          <w:sz w:val="36"/>
          <w:szCs w:val="36"/>
          <w:u w:val="single"/>
          <w:rtl/>
        </w:rPr>
        <w:t xml:space="preserve"> قرار اللجنة الطبية المعتمدة من قبل الجامعة</w:t>
      </w:r>
      <w:r w:rsidR="00B930C1" w:rsidRPr="006F56E6">
        <w:rPr>
          <w:rFonts w:ascii="Arabic Typesetting" w:hAnsi="Arabic Typesetting" w:cs="Arabic Typesetting"/>
          <w:sz w:val="36"/>
          <w:szCs w:val="36"/>
          <w:u w:val="single"/>
          <w:rtl/>
        </w:rPr>
        <w:t>.</w:t>
      </w:r>
    </w:p>
    <w:p w:rsidR="00580454" w:rsidRPr="006F56E6" w:rsidRDefault="00B930C1" w:rsidP="006F56E6">
      <w:pPr>
        <w:pStyle w:val="ListParagraph"/>
        <w:numPr>
          <w:ilvl w:val="0"/>
          <w:numId w:val="9"/>
        </w:numPr>
        <w:ind w:left="36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التعويض بقيمة مبلغ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عن اخطار </w:t>
      </w:r>
      <w:r w:rsidR="00580454" w:rsidRPr="006F56E6">
        <w:rPr>
          <w:rFonts w:ascii="Arabic Typesetting" w:hAnsi="Arabic Typesetting" w:cs="Arabic Typesetting"/>
          <w:sz w:val="36"/>
          <w:szCs w:val="36"/>
          <w:rtl/>
        </w:rPr>
        <w:t>الحروب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="00580454" w:rsidRPr="006F56E6">
        <w:rPr>
          <w:rFonts w:ascii="Arabic Typesetting" w:hAnsi="Arabic Typesetting" w:cs="Arabic Typesetting"/>
          <w:sz w:val="36"/>
          <w:szCs w:val="36"/>
          <w:rtl/>
        </w:rPr>
        <w:t>أعلنت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لم تعلن).</w:t>
      </w:r>
    </w:p>
    <w:p w:rsidR="00580454" w:rsidRPr="006F56E6" w:rsidRDefault="00B930C1" w:rsidP="006F56E6">
      <w:pPr>
        <w:pStyle w:val="ListParagraph"/>
        <w:numPr>
          <w:ilvl w:val="0"/>
          <w:numId w:val="9"/>
        </w:numPr>
        <w:ind w:left="36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التعويض ضعفي مبلغ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عن الوفاة الناتجة عن الحرب الأهلية، </w:t>
      </w:r>
      <w:r w:rsidR="00E024C0" w:rsidRPr="006F56E6">
        <w:rPr>
          <w:rFonts w:ascii="Arabic Typesetting" w:hAnsi="Arabic Typesetting" w:cs="Arabic Typesetting"/>
          <w:sz w:val="36"/>
          <w:szCs w:val="36"/>
          <w:rtl/>
        </w:rPr>
        <w:t>الاضطرابات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، 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lastRenderedPageBreak/>
        <w:t>الفتن الداخلية، الشغب، الثورات المسلحة وأعمال العنف.</w:t>
      </w:r>
    </w:p>
    <w:p w:rsidR="00580454" w:rsidRPr="006F56E6" w:rsidRDefault="00B930C1" w:rsidP="006F56E6">
      <w:pPr>
        <w:pStyle w:val="ListParagraph"/>
        <w:numPr>
          <w:ilvl w:val="0"/>
          <w:numId w:val="9"/>
        </w:numPr>
        <w:ind w:left="36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التعويض بقيمة مبلغ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عن الخلل العقلي.</w:t>
      </w:r>
    </w:p>
    <w:p w:rsidR="00580454" w:rsidRPr="006F56E6" w:rsidRDefault="00B930C1" w:rsidP="006F56E6">
      <w:pPr>
        <w:pStyle w:val="ListParagraph"/>
        <w:numPr>
          <w:ilvl w:val="0"/>
          <w:numId w:val="9"/>
        </w:numPr>
        <w:ind w:left="36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>التعويض بقيمة</w:t>
      </w:r>
      <w:r w:rsidR="00505AB3" w:rsidRPr="006F56E6">
        <w:rPr>
          <w:rFonts w:ascii="Arabic Typesetting" w:hAnsi="Arabic Typesetting" w:cs="Arabic Typesetting"/>
          <w:sz w:val="36"/>
          <w:szCs w:val="36"/>
          <w:rtl/>
        </w:rPr>
        <w:t xml:space="preserve"> مبلغ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عن </w:t>
      </w:r>
      <w:r w:rsidR="00580454" w:rsidRPr="006F56E6">
        <w:rPr>
          <w:rFonts w:ascii="Arabic Typesetting" w:hAnsi="Arabic Typesetting" w:cs="Arabic Typesetting"/>
          <w:sz w:val="36"/>
          <w:szCs w:val="36"/>
          <w:rtl/>
        </w:rPr>
        <w:t>الانتحار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580454" w:rsidRPr="006F56E6" w:rsidRDefault="00B930C1" w:rsidP="006F56E6">
      <w:pPr>
        <w:pStyle w:val="ListParagraph"/>
        <w:numPr>
          <w:ilvl w:val="0"/>
          <w:numId w:val="9"/>
        </w:numPr>
        <w:ind w:left="36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التعويض بقمة مبلغ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عن </w:t>
      </w:r>
      <w:r w:rsidR="00505AB3" w:rsidRPr="006F56E6">
        <w:rPr>
          <w:rFonts w:ascii="Arabic Typesetting" w:hAnsi="Arabic Typesetting" w:cs="Arabic Typesetting"/>
          <w:sz w:val="36"/>
          <w:szCs w:val="36"/>
          <w:rtl/>
        </w:rPr>
        <w:t>الإصابة العمد.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p w:rsidR="00580454" w:rsidRPr="006F56E6" w:rsidRDefault="00B930C1" w:rsidP="006F56E6">
      <w:pPr>
        <w:pStyle w:val="ListParagraph"/>
        <w:numPr>
          <w:ilvl w:val="0"/>
          <w:numId w:val="9"/>
        </w:numPr>
        <w:ind w:left="36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التعويض بقيمة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عن الكوارث الطبيعية.</w:t>
      </w:r>
    </w:p>
    <w:p w:rsidR="005A58D8" w:rsidRPr="006F56E6" w:rsidRDefault="00B930C1" w:rsidP="006F56E6">
      <w:pPr>
        <w:pStyle w:val="ListParagraph"/>
        <w:numPr>
          <w:ilvl w:val="0"/>
          <w:numId w:val="9"/>
        </w:numPr>
        <w:ind w:left="36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التعويض بقيمة </w:t>
      </w:r>
      <w:r w:rsidR="00580454" w:rsidRPr="006F56E6">
        <w:rPr>
          <w:rFonts w:ascii="Arabic Typesetting" w:hAnsi="Arabic Typesetting" w:cs="Arabic Typesetting"/>
          <w:sz w:val="36"/>
          <w:szCs w:val="36"/>
          <w:rtl/>
        </w:rPr>
        <w:t>مبلغ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عن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أي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اسباب اخرى مهما كانت سواء حدث ذلك اثناء العمل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خارجه، داخل المملكة الأردنية الهاشمية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خارجها في مهمة رسمية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أو</w:t>
      </w:r>
      <w:r w:rsidR="00505AB3" w:rsidRPr="006F56E6">
        <w:rPr>
          <w:rFonts w:ascii="Arabic Typesetting" w:hAnsi="Arabic Typesetting" w:cs="Arabic Typesetting"/>
          <w:sz w:val="36"/>
          <w:szCs w:val="36"/>
          <w:rtl/>
        </w:rPr>
        <w:t xml:space="preserve"> سواها أو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في إجازة مهما كان نوعها.</w:t>
      </w:r>
    </w:p>
    <w:p w:rsidR="005A58D8" w:rsidRPr="006F56E6" w:rsidRDefault="00B930C1" w:rsidP="006F56E6">
      <w:pPr>
        <w:pStyle w:val="ListParagraph"/>
        <w:numPr>
          <w:ilvl w:val="0"/>
          <w:numId w:val="7"/>
        </w:numPr>
        <w:ind w:left="-5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لا يخضع الموظفون الجدد للفحص الطبي.</w:t>
      </w:r>
    </w:p>
    <w:p w:rsidR="00B5177B" w:rsidRPr="006F56E6" w:rsidRDefault="00B930C1" w:rsidP="006F56E6">
      <w:pPr>
        <w:pStyle w:val="ListParagraph"/>
        <w:numPr>
          <w:ilvl w:val="0"/>
          <w:numId w:val="7"/>
        </w:numPr>
        <w:ind w:left="-5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تلتزم الشركة بإصدار بوليصة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دون </w:t>
      </w:r>
      <w:r w:rsidR="005A58D8" w:rsidRPr="006F56E6">
        <w:rPr>
          <w:rFonts w:ascii="Arabic Typesetting" w:hAnsi="Arabic Typesetting" w:cs="Arabic Typesetting"/>
          <w:sz w:val="36"/>
          <w:szCs w:val="36"/>
          <w:rtl/>
        </w:rPr>
        <w:t>استثناء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على الإطلاق. </w:t>
      </w:r>
    </w:p>
    <w:p w:rsidR="005A58D8" w:rsidRPr="006F56E6" w:rsidRDefault="00B930C1" w:rsidP="006F56E6">
      <w:pPr>
        <w:pStyle w:val="ListParagraph"/>
        <w:numPr>
          <w:ilvl w:val="0"/>
          <w:numId w:val="7"/>
        </w:numPr>
        <w:ind w:left="-5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يكون سعر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شاملا لجميع التعويضات بما في ذلك التعويض المضاعف في حالة الوفاة الناتجة عن حادث مهما كان سببه. </w:t>
      </w:r>
    </w:p>
    <w:p w:rsidR="005A58D8" w:rsidRPr="006F56E6" w:rsidRDefault="00B930C1" w:rsidP="006F56E6">
      <w:pPr>
        <w:pStyle w:val="ListParagraph"/>
        <w:numPr>
          <w:ilvl w:val="0"/>
          <w:numId w:val="7"/>
        </w:numPr>
        <w:ind w:left="-5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يبقى سعر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ثابتاً دون زيادة</w:t>
      </w:r>
      <w:r w:rsidR="00505AB3" w:rsidRPr="006F56E6">
        <w:rPr>
          <w:rFonts w:ascii="Arabic Typesetting" w:hAnsi="Arabic Typesetting" w:cs="Arabic Typesetting"/>
          <w:sz w:val="36"/>
          <w:szCs w:val="36"/>
          <w:rtl/>
        </w:rPr>
        <w:t xml:space="preserve"> خلال</w:t>
      </w:r>
      <w:r w:rsidR="005A58D8"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>(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أي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طول)</w:t>
      </w:r>
      <w:r w:rsidR="005A58D8"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مدة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المنوه عنها ادناه ويسري على </w:t>
      </w:r>
      <w:r w:rsidR="005A58D8" w:rsidRPr="006F56E6">
        <w:rPr>
          <w:rFonts w:ascii="Arabic Typesetting" w:hAnsi="Arabic Typesetting" w:cs="Arabic Typesetting"/>
          <w:sz w:val="36"/>
          <w:szCs w:val="36"/>
          <w:rtl/>
        </w:rPr>
        <w:t xml:space="preserve">المشتركين 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الجدد الذين يشتركون في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اثناء فترة التعاقد.</w:t>
      </w:r>
    </w:p>
    <w:p w:rsidR="00B930C1" w:rsidRPr="006F56E6" w:rsidRDefault="00B930C1" w:rsidP="006F56E6">
      <w:pPr>
        <w:pStyle w:val="ListParagraph"/>
        <w:numPr>
          <w:ilvl w:val="0"/>
          <w:numId w:val="7"/>
        </w:numPr>
        <w:ind w:left="-5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انتهاء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: ينتهي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ل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أي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من العاملين في الجامعة في حالة </w:t>
      </w:r>
      <w:r w:rsidR="005A58D8" w:rsidRPr="006F56E6">
        <w:rPr>
          <w:rFonts w:ascii="Arabic Typesetting" w:hAnsi="Arabic Typesetting" w:cs="Arabic Typesetting"/>
          <w:sz w:val="36"/>
          <w:szCs w:val="36"/>
          <w:rtl/>
        </w:rPr>
        <w:t>الوفاة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lastRenderedPageBreak/>
        <w:t>أو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الإصابة بعجز كلي دائم بعد دفع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المستحق</w:t>
      </w:r>
      <w:r w:rsidR="00D354FC" w:rsidRPr="006F56E6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5A58D8" w:rsidRPr="006F56E6" w:rsidRDefault="00D354FC" w:rsidP="006F56E6">
      <w:pPr>
        <w:pStyle w:val="ListParagraph"/>
        <w:numPr>
          <w:ilvl w:val="0"/>
          <w:numId w:val="7"/>
        </w:numPr>
        <w:ind w:left="-5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>في ح</w:t>
      </w:r>
      <w:r w:rsidR="005A58D8" w:rsidRPr="006F56E6">
        <w:rPr>
          <w:rFonts w:ascii="Arabic Typesetting" w:hAnsi="Arabic Typesetting" w:cs="Arabic Typesetting"/>
          <w:sz w:val="36"/>
          <w:szCs w:val="36"/>
          <w:rtl/>
        </w:rPr>
        <w:t>ا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لة إصابة الموظف </w:t>
      </w:r>
      <w:r w:rsidR="005A58D8" w:rsidRPr="006F56E6">
        <w:rPr>
          <w:rFonts w:ascii="Arabic Typesetting" w:hAnsi="Arabic Typesetting" w:cs="Arabic Typesetting"/>
          <w:sz w:val="36"/>
          <w:szCs w:val="36"/>
          <w:rtl/>
        </w:rPr>
        <w:t>المؤمن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عليه </w:t>
      </w:r>
      <w:r w:rsidR="005A58D8" w:rsidRPr="006F56E6">
        <w:rPr>
          <w:rFonts w:ascii="Arabic Typesetting" w:hAnsi="Arabic Typesetting" w:cs="Arabic Typesetting"/>
          <w:sz w:val="36"/>
          <w:szCs w:val="36"/>
          <w:rtl/>
        </w:rPr>
        <w:t>بعجز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جزئي دائم وتم تعويضه على هذا الأساس فلا يجوز </w:t>
      </w:r>
      <w:r w:rsidR="005A58D8" w:rsidRPr="006F56E6">
        <w:rPr>
          <w:rFonts w:ascii="Arabic Typesetting" w:hAnsi="Arabic Typesetting" w:cs="Arabic Typesetting"/>
          <w:sz w:val="36"/>
          <w:szCs w:val="36"/>
          <w:rtl/>
        </w:rPr>
        <w:t>استثناء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هذا الموظف من بقية التغطيات</w:t>
      </w:r>
      <w:r w:rsidR="005A58D8"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المنصوص عليها في عقد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بما في ذلك البوليصة الاضافية</w:t>
      </w:r>
      <w:r w:rsidR="005A58D8" w:rsidRPr="006F56E6">
        <w:rPr>
          <w:rFonts w:ascii="Arabic Typesetting" w:hAnsi="Arabic Typesetting" w:cs="Arabic Typesetting"/>
          <w:sz w:val="36"/>
          <w:szCs w:val="36"/>
          <w:rtl/>
        </w:rPr>
        <w:t>،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على ان يقتصر حرمانه على التغطية عن الجزء الذي اصابه العجز وتم تعويضه عنه.</w:t>
      </w:r>
    </w:p>
    <w:p w:rsidR="005A58D8" w:rsidRPr="006F56E6" w:rsidRDefault="00D354FC" w:rsidP="006F56E6">
      <w:pPr>
        <w:pStyle w:val="ListParagraph"/>
        <w:numPr>
          <w:ilvl w:val="0"/>
          <w:numId w:val="7"/>
        </w:numPr>
        <w:ind w:left="-5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تلتزم الشركة بدفع </w:t>
      </w:r>
      <w:r w:rsidR="00505AB3" w:rsidRPr="006F56E6">
        <w:rPr>
          <w:rFonts w:ascii="Arabic Typesetting" w:hAnsi="Arabic Typesetting" w:cs="Arabic Typesetting"/>
          <w:sz w:val="36"/>
          <w:szCs w:val="36"/>
          <w:rtl/>
        </w:rPr>
        <w:t>كامل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التعويضات المستحقة عن الاضرار والحوادث التي تقع خلال مدة سريان العقد في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أي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وقت تطالبها الجامعة، وطالما انها تمت خلال فترة العقد الموقع مع الشركة وبمدة لا تزيد عن شهر من تاريخ طلب الجامعة الرسمي.</w:t>
      </w:r>
    </w:p>
    <w:p w:rsidR="005A58D8" w:rsidRPr="006F56E6" w:rsidRDefault="00D354FC" w:rsidP="006F56E6">
      <w:pPr>
        <w:pStyle w:val="ListParagraph"/>
        <w:numPr>
          <w:ilvl w:val="0"/>
          <w:numId w:val="7"/>
        </w:numPr>
        <w:ind w:left="-5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يحق للجامعة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الموظف </w:t>
      </w:r>
      <w:r w:rsidR="005A58D8" w:rsidRPr="006F56E6">
        <w:rPr>
          <w:rFonts w:ascii="Arabic Typesetting" w:hAnsi="Arabic Typesetting" w:cs="Arabic Typesetting"/>
          <w:sz w:val="36"/>
          <w:szCs w:val="36"/>
          <w:rtl/>
        </w:rPr>
        <w:t>المنتفع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من </w:t>
      </w:r>
      <w:r w:rsidR="005A58D8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مقاضاة شركة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المومن لديها في حالة حد</w:t>
      </w:r>
      <w:r w:rsidR="005A58D8" w:rsidRPr="006F56E6">
        <w:rPr>
          <w:rFonts w:ascii="Arabic Typesetting" w:hAnsi="Arabic Typesetting" w:cs="Arabic Typesetting"/>
          <w:sz w:val="36"/>
          <w:szCs w:val="36"/>
          <w:rtl/>
        </w:rPr>
        <w:t>و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ث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أي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خلاف مع </w:t>
      </w:r>
      <w:r w:rsidR="005A58D8" w:rsidRPr="006F56E6">
        <w:rPr>
          <w:rFonts w:ascii="Arabic Typesetting" w:hAnsi="Arabic Typesetting" w:cs="Arabic Typesetting"/>
          <w:sz w:val="36"/>
          <w:szCs w:val="36"/>
          <w:rtl/>
        </w:rPr>
        <w:t>الشركة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حول حق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أي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من المنتفعين بالتعويض.</w:t>
      </w:r>
    </w:p>
    <w:p w:rsidR="005A58D8" w:rsidRPr="006F56E6" w:rsidRDefault="00D354FC" w:rsidP="006F56E6">
      <w:pPr>
        <w:pStyle w:val="ListParagraph"/>
        <w:numPr>
          <w:ilvl w:val="0"/>
          <w:numId w:val="7"/>
        </w:numPr>
        <w:ind w:left="-5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تتحمل الشركة كافة المسؤوليات المترتبة </w:t>
      </w:r>
      <w:r w:rsidR="005A58D8" w:rsidRPr="006F56E6">
        <w:rPr>
          <w:rFonts w:ascii="Arabic Typesetting" w:hAnsi="Arabic Typesetting" w:cs="Arabic Typesetting"/>
          <w:sz w:val="36"/>
          <w:szCs w:val="36"/>
          <w:rtl/>
        </w:rPr>
        <w:t>عن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5A58D8" w:rsidRPr="006F56E6">
        <w:rPr>
          <w:rFonts w:ascii="Arabic Typesetting" w:hAnsi="Arabic Typesetting" w:cs="Arabic Typesetting"/>
          <w:sz w:val="36"/>
          <w:szCs w:val="36"/>
          <w:rtl/>
        </w:rPr>
        <w:t>التأخير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الذي يحصل بدفع التعويضات ولا </w:t>
      </w:r>
      <w:r w:rsidR="005A58D8" w:rsidRPr="006F56E6">
        <w:rPr>
          <w:rFonts w:ascii="Arabic Typesetting" w:hAnsi="Arabic Typesetting" w:cs="Arabic Typesetting"/>
          <w:sz w:val="36"/>
          <w:szCs w:val="36"/>
          <w:rtl/>
        </w:rPr>
        <w:t>يحق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لها المماطلة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5A58D8" w:rsidRPr="006F56E6">
        <w:rPr>
          <w:rFonts w:ascii="Arabic Typesetting" w:hAnsi="Arabic Typesetting" w:cs="Arabic Typesetting"/>
          <w:sz w:val="36"/>
          <w:szCs w:val="36"/>
          <w:rtl/>
        </w:rPr>
        <w:t>التأخير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5A58D8" w:rsidRPr="006F56E6">
        <w:rPr>
          <w:rFonts w:ascii="Arabic Typesetting" w:hAnsi="Arabic Typesetting" w:cs="Arabic Typesetting"/>
          <w:sz w:val="36"/>
          <w:szCs w:val="36"/>
          <w:rtl/>
        </w:rPr>
        <w:t>الاعتذار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ل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أي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>ة اسباب مهما كانت ويحق للجامعة خصم ما قيمته 5% من قيمة الق</w:t>
      </w:r>
      <w:r w:rsidR="005A58D8" w:rsidRPr="006F56E6">
        <w:rPr>
          <w:rFonts w:ascii="Arabic Typesetting" w:hAnsi="Arabic Typesetting" w:cs="Arabic Typesetting"/>
          <w:sz w:val="36"/>
          <w:szCs w:val="36"/>
          <w:rtl/>
        </w:rPr>
        <w:t>س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>ط المستحق للشركة دون ان يكون للشركة حق الاعتراض في هذه الحالة.</w:t>
      </w:r>
    </w:p>
    <w:p w:rsidR="005A58D8" w:rsidRPr="006F56E6" w:rsidRDefault="00D354FC" w:rsidP="006F56E6">
      <w:pPr>
        <w:pStyle w:val="ListParagraph"/>
        <w:numPr>
          <w:ilvl w:val="0"/>
          <w:numId w:val="7"/>
        </w:numPr>
        <w:ind w:left="-5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تقوم الشركة في </w:t>
      </w:r>
      <w:r w:rsidR="008F6E0C" w:rsidRPr="006F56E6">
        <w:rPr>
          <w:rFonts w:ascii="Arabic Typesetting" w:hAnsi="Arabic Typesetting" w:cs="Arabic Typesetting"/>
          <w:sz w:val="36"/>
          <w:szCs w:val="36"/>
          <w:rtl/>
        </w:rPr>
        <w:t>نهاية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مدة العقد بدفع (45%) (على الأقل) من صافي الأرباح للجام</w:t>
      </w:r>
      <w:r w:rsidR="005A58D8" w:rsidRPr="006F56E6">
        <w:rPr>
          <w:rFonts w:ascii="Arabic Typesetting" w:hAnsi="Arabic Typesetting" w:cs="Arabic Typesetting"/>
          <w:sz w:val="36"/>
          <w:szCs w:val="36"/>
          <w:rtl/>
        </w:rPr>
        <w:t>ع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>ة في حال تحققها وتكون قاعدة الربح كما يلي</w:t>
      </w:r>
      <w:r w:rsidR="005A58D8" w:rsidRPr="006F56E6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>(45%)</w:t>
      </w:r>
      <w:r w:rsidR="005A58D8"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من (80%) من 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lastRenderedPageBreak/>
        <w:t xml:space="preserve">الاقساط مطروحاً منها المطالبات المدفوعة </w:t>
      </w:r>
      <w:r w:rsidR="005A58D8" w:rsidRPr="006F56E6">
        <w:rPr>
          <w:rFonts w:ascii="Arabic Typesetting" w:hAnsi="Arabic Typesetting" w:cs="Arabic Typesetting"/>
          <w:sz w:val="36"/>
          <w:szCs w:val="36"/>
          <w:rtl/>
        </w:rPr>
        <w:t>من المطالبات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الموقوفة والتي لا تزال  قيد التسوية، ويعاد النظر</w:t>
      </w:r>
      <w:r w:rsidR="005A58D8"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>لصالح الجامعة ب</w:t>
      </w:r>
      <w:r w:rsidR="005A58D8" w:rsidRPr="006F56E6">
        <w:rPr>
          <w:rFonts w:ascii="Arabic Typesetting" w:hAnsi="Arabic Typesetting" w:cs="Arabic Typesetting"/>
          <w:sz w:val="36"/>
          <w:szCs w:val="36"/>
          <w:rtl/>
        </w:rPr>
        <w:t>ا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>حتساب</w:t>
      </w:r>
      <w:r w:rsidR="00505AB3" w:rsidRPr="006F56E6">
        <w:rPr>
          <w:rFonts w:ascii="Arabic Typesetting" w:hAnsi="Arabic Typesetting" w:cs="Arabic Typesetting"/>
          <w:sz w:val="36"/>
          <w:szCs w:val="36"/>
          <w:rtl/>
        </w:rPr>
        <w:t xml:space="preserve"> معاملة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المشاركة في الأرباح بعد تسوية كافة ال</w:t>
      </w:r>
      <w:r w:rsidR="005A58D8" w:rsidRPr="006F56E6">
        <w:rPr>
          <w:rFonts w:ascii="Arabic Typesetting" w:hAnsi="Arabic Typesetting" w:cs="Arabic Typesetting"/>
          <w:sz w:val="36"/>
          <w:szCs w:val="36"/>
          <w:rtl/>
        </w:rPr>
        <w:t>م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>طالبات الموقوفة وتحت التسوية.</w:t>
      </w:r>
    </w:p>
    <w:p w:rsidR="00040B60" w:rsidRPr="006F56E6" w:rsidRDefault="00D354FC" w:rsidP="006F56E6">
      <w:pPr>
        <w:pStyle w:val="ListParagraph"/>
        <w:numPr>
          <w:ilvl w:val="0"/>
          <w:numId w:val="7"/>
        </w:numPr>
        <w:ind w:left="-5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تدفع الشركة التعويضات المستحقة </w:t>
      </w:r>
      <w:r w:rsidR="00040B60" w:rsidRPr="006F56E6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الجامعة التي تقوم</w:t>
      </w:r>
      <w:r w:rsidR="005A58D8"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بدفعها </w:t>
      </w:r>
      <w:r w:rsidR="00040B60" w:rsidRPr="006F56E6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المستفيدين من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040B60" w:rsidRPr="006F56E6" w:rsidRDefault="00D354FC" w:rsidP="006F56E6">
      <w:pPr>
        <w:pStyle w:val="ListParagraph"/>
        <w:numPr>
          <w:ilvl w:val="0"/>
          <w:numId w:val="7"/>
        </w:numPr>
        <w:ind w:left="-5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تصرف قيم مطالبات الع</w:t>
      </w:r>
      <w:r w:rsidR="00040B60" w:rsidRPr="006F56E6">
        <w:rPr>
          <w:rFonts w:ascii="Arabic Typesetting" w:hAnsi="Arabic Typesetting" w:cs="Arabic Typesetting"/>
          <w:sz w:val="36"/>
          <w:szCs w:val="36"/>
          <w:rtl/>
        </w:rPr>
        <w:t>ج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ز دون تحديد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أي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فترات </w:t>
      </w:r>
      <w:r w:rsidR="00040B60" w:rsidRPr="006F56E6">
        <w:rPr>
          <w:rFonts w:ascii="Arabic Typesetting" w:hAnsi="Arabic Typesetting" w:cs="Arabic Typesetting"/>
          <w:sz w:val="36"/>
          <w:szCs w:val="36"/>
          <w:rtl/>
        </w:rPr>
        <w:t>لاستمرار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ثبوت العجز.</w:t>
      </w:r>
    </w:p>
    <w:p w:rsidR="00040B60" w:rsidRPr="006F56E6" w:rsidRDefault="00D354FC" w:rsidP="006F56E6">
      <w:pPr>
        <w:pStyle w:val="ListParagraph"/>
        <w:numPr>
          <w:ilvl w:val="0"/>
          <w:numId w:val="7"/>
        </w:numPr>
        <w:ind w:left="-5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تلتزم </w:t>
      </w:r>
      <w:r w:rsidR="00040B60" w:rsidRPr="006F56E6">
        <w:rPr>
          <w:rFonts w:ascii="Arabic Typesetting" w:hAnsi="Arabic Typesetting" w:cs="Arabic Typesetting"/>
          <w:sz w:val="36"/>
          <w:szCs w:val="36"/>
          <w:rtl/>
        </w:rPr>
        <w:t>الشركة</w:t>
      </w:r>
      <w:r w:rsidR="00C5793A" w:rsidRPr="006F56E6">
        <w:rPr>
          <w:rFonts w:ascii="Arabic Typesetting" w:hAnsi="Arabic Typesetting" w:cs="Arabic Typesetting"/>
          <w:sz w:val="36"/>
          <w:szCs w:val="36"/>
          <w:rtl/>
        </w:rPr>
        <w:t xml:space="preserve"> بتقديم كشوفات سنوية تبين الاقساط المدفوعة وال</w:t>
      </w:r>
      <w:r w:rsidR="00040B60" w:rsidRPr="006F56E6">
        <w:rPr>
          <w:rFonts w:ascii="Arabic Typesetting" w:hAnsi="Arabic Typesetting" w:cs="Arabic Typesetting"/>
          <w:sz w:val="36"/>
          <w:szCs w:val="36"/>
          <w:rtl/>
        </w:rPr>
        <w:t>م</w:t>
      </w:r>
      <w:r w:rsidR="00C5793A" w:rsidRPr="006F56E6">
        <w:rPr>
          <w:rFonts w:ascii="Arabic Typesetting" w:hAnsi="Arabic Typesetting" w:cs="Arabic Typesetting"/>
          <w:sz w:val="36"/>
          <w:szCs w:val="36"/>
          <w:rtl/>
        </w:rPr>
        <w:t xml:space="preserve">طالبات </w:t>
      </w:r>
      <w:r w:rsidR="00040B60" w:rsidRPr="006F56E6">
        <w:rPr>
          <w:rFonts w:ascii="Arabic Typesetting" w:hAnsi="Arabic Typesetting" w:cs="Arabic Typesetting"/>
          <w:sz w:val="36"/>
          <w:szCs w:val="36"/>
          <w:rtl/>
        </w:rPr>
        <w:t>المقبوضة</w:t>
      </w:r>
      <w:r w:rsidR="00767E39" w:rsidRPr="006F56E6">
        <w:rPr>
          <w:rFonts w:ascii="Arabic Typesetting" w:hAnsi="Arabic Typesetting" w:cs="Arabic Typesetting"/>
          <w:sz w:val="36"/>
          <w:szCs w:val="36"/>
          <w:rtl/>
        </w:rPr>
        <w:t xml:space="preserve"> وتلك التي لاتزال قيد التسوية.</w:t>
      </w:r>
    </w:p>
    <w:p w:rsidR="00040B60" w:rsidRPr="006F56E6" w:rsidRDefault="00767E39" w:rsidP="006F56E6">
      <w:pPr>
        <w:pStyle w:val="ListParagraph"/>
        <w:numPr>
          <w:ilvl w:val="0"/>
          <w:numId w:val="7"/>
        </w:numPr>
        <w:ind w:left="-5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تستمر مسؤولية الشركة بعد انتهاء مدة العقد عن حالات الوفاة والعجز التي تبلغ عنها اثناء سريان </w:t>
      </w:r>
      <w:r w:rsidR="00040B60" w:rsidRPr="006F56E6">
        <w:rPr>
          <w:rFonts w:ascii="Arabic Typesetting" w:hAnsi="Arabic Typesetting" w:cs="Arabic Typesetting"/>
          <w:sz w:val="36"/>
          <w:szCs w:val="36"/>
          <w:rtl/>
        </w:rPr>
        <w:t>العقد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والتي لا يكون قد بت فيها. </w:t>
      </w:r>
    </w:p>
    <w:p w:rsidR="00D354FC" w:rsidRPr="006F56E6" w:rsidRDefault="00767E39" w:rsidP="006F56E6">
      <w:pPr>
        <w:pStyle w:val="ListParagraph"/>
        <w:numPr>
          <w:ilvl w:val="0"/>
          <w:numId w:val="7"/>
        </w:numPr>
        <w:ind w:left="-5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يكون </w:t>
      </w:r>
      <w:r w:rsidR="00505AB3" w:rsidRPr="006F56E6">
        <w:rPr>
          <w:rFonts w:ascii="Arabic Typesetting" w:hAnsi="Arabic Typesetting" w:cs="Arabic Typesetting"/>
          <w:sz w:val="36"/>
          <w:szCs w:val="36"/>
          <w:rtl/>
        </w:rPr>
        <w:t>سعر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ثابتاً دون زيادة طول فترة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040B60" w:rsidRPr="006F56E6">
        <w:rPr>
          <w:rFonts w:ascii="Arabic Typesetting" w:hAnsi="Arabic Typesetting" w:cs="Arabic Typesetting"/>
          <w:sz w:val="36"/>
          <w:szCs w:val="36"/>
          <w:rtl/>
        </w:rPr>
        <w:t>المطلوبة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>، شاملة لجميع التعويضات (المنافع)</w:t>
      </w:r>
      <w:r w:rsidR="00040B60"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>وموحدة لج</w:t>
      </w:r>
      <w:r w:rsidR="00040B60" w:rsidRPr="006F56E6">
        <w:rPr>
          <w:rFonts w:ascii="Arabic Typesetting" w:hAnsi="Arabic Typesetting" w:cs="Arabic Typesetting"/>
          <w:sz w:val="36"/>
          <w:szCs w:val="36"/>
          <w:rtl/>
        </w:rPr>
        <w:t>م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>يع الأعمار حتى عمر(75) خمسة وسبعون سنة</w:t>
      </w:r>
      <w:r w:rsidR="001C17A7" w:rsidRPr="006F56E6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DF66E3" w:rsidRPr="006F56E6" w:rsidRDefault="00DF66E3" w:rsidP="006F56E6">
      <w:pPr>
        <w:pStyle w:val="ListParagraph"/>
        <w:numPr>
          <w:ilvl w:val="0"/>
          <w:numId w:val="7"/>
        </w:numPr>
        <w:ind w:left="0" w:right="-720" w:hanging="426"/>
        <w:jc w:val="lowKashida"/>
        <w:rPr>
          <w:rFonts w:ascii="Arabic Typesetting" w:hAnsi="Arabic Typesetting" w:cs="Arabic Typesetting"/>
          <w:sz w:val="36"/>
          <w:szCs w:val="36"/>
        </w:rPr>
      </w:pPr>
    </w:p>
    <w:p w:rsidR="00040B60" w:rsidRPr="006F56E6" w:rsidRDefault="001C17A7" w:rsidP="006F56E6">
      <w:pPr>
        <w:pStyle w:val="ListParagraph"/>
        <w:numPr>
          <w:ilvl w:val="0"/>
          <w:numId w:val="10"/>
        </w:numPr>
        <w:ind w:left="368" w:right="-720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مدة </w:t>
      </w:r>
      <w:r w:rsidR="00283A4C" w:rsidRPr="006F56E6">
        <w:rPr>
          <w:rFonts w:ascii="Arabic Typesetting" w:hAnsi="Arabic Typesetting" w:cs="Arabic Typesetting"/>
          <w:b/>
          <w:bCs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ثلاث سنوات وبعد هذه المدة يجوز تجديد العقد سنة فسنة </w:t>
      </w:r>
      <w:r w:rsidR="00040B60" w:rsidRPr="006F56E6">
        <w:rPr>
          <w:rFonts w:ascii="Arabic Typesetting" w:hAnsi="Arabic Typesetting" w:cs="Arabic Typesetting"/>
          <w:sz w:val="36"/>
          <w:szCs w:val="36"/>
          <w:rtl/>
        </w:rPr>
        <w:t>باتفاق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طرفا التعاقد.</w:t>
      </w:r>
    </w:p>
    <w:p w:rsidR="00040B60" w:rsidRPr="006F56E6" w:rsidRDefault="001C17A7" w:rsidP="006F56E6">
      <w:pPr>
        <w:pStyle w:val="ListParagraph"/>
        <w:numPr>
          <w:ilvl w:val="0"/>
          <w:numId w:val="10"/>
        </w:numPr>
        <w:ind w:left="368" w:right="-720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6F56E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سعر </w:t>
      </w:r>
      <w:r w:rsidR="00283A4C" w:rsidRPr="006F56E6">
        <w:rPr>
          <w:rFonts w:ascii="Arabic Typesetting" w:hAnsi="Arabic Typesetting" w:cs="Arabic Typesetting"/>
          <w:b/>
          <w:bCs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الشهري: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040B60" w:rsidRPr="006F56E6">
        <w:rPr>
          <w:rFonts w:ascii="Arabic Typesetting" w:hAnsi="Arabic Typesetting" w:cs="Arabic Typesetting"/>
          <w:sz w:val="36"/>
          <w:szCs w:val="36"/>
          <w:u w:val="single"/>
          <w:rtl/>
        </w:rPr>
        <w:t xml:space="preserve">يقدم </w:t>
      </w:r>
      <w:r w:rsidRPr="006F56E6">
        <w:rPr>
          <w:rFonts w:ascii="Arabic Typesetting" w:hAnsi="Arabic Typesetting" w:cs="Arabic Typesetting"/>
          <w:sz w:val="36"/>
          <w:szCs w:val="36"/>
          <w:u w:val="single"/>
          <w:rtl/>
        </w:rPr>
        <w:t xml:space="preserve">سعر </w:t>
      </w:r>
      <w:r w:rsidR="00283A4C" w:rsidRPr="006F56E6">
        <w:rPr>
          <w:rFonts w:ascii="Arabic Typesetting" w:hAnsi="Arabic Typesetting" w:cs="Arabic Typesetting"/>
          <w:sz w:val="36"/>
          <w:szCs w:val="36"/>
          <w:u w:val="single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u w:val="single"/>
          <w:rtl/>
        </w:rPr>
        <w:t xml:space="preserve"> لكل الف دينار من مجموع مبالغ </w:t>
      </w:r>
      <w:r w:rsidR="00283A4C" w:rsidRPr="006F56E6">
        <w:rPr>
          <w:rFonts w:ascii="Arabic Typesetting" w:hAnsi="Arabic Typesetting" w:cs="Arabic Typesetting"/>
          <w:sz w:val="36"/>
          <w:szCs w:val="36"/>
          <w:u w:val="single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u w:val="single"/>
          <w:rtl/>
        </w:rPr>
        <w:t xml:space="preserve"> شهرياً.</w:t>
      </w:r>
    </w:p>
    <w:p w:rsidR="00040B60" w:rsidRPr="006F56E6" w:rsidRDefault="001C17A7" w:rsidP="0047024D">
      <w:pPr>
        <w:pStyle w:val="ListParagraph"/>
        <w:numPr>
          <w:ilvl w:val="0"/>
          <w:numId w:val="10"/>
        </w:numPr>
        <w:ind w:left="368" w:right="-720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lastRenderedPageBreak/>
        <w:t xml:space="preserve"> يقدم السعر على اساس ان الجامعة معفية من الضرائب والرسوم </w:t>
      </w:r>
      <w:r w:rsidR="0047024D">
        <w:rPr>
          <w:rFonts w:ascii="Arabic Typesetting" w:hAnsi="Arabic Typesetting" w:cs="Arabic Typesetting" w:hint="cs"/>
          <w:sz w:val="36"/>
          <w:szCs w:val="36"/>
          <w:rtl/>
        </w:rPr>
        <w:t>باستثناء الضريبة العامة على المبيعات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040B60" w:rsidRPr="006F56E6" w:rsidRDefault="001C17A7" w:rsidP="006F56E6">
      <w:pPr>
        <w:pStyle w:val="ListParagraph"/>
        <w:numPr>
          <w:ilvl w:val="0"/>
          <w:numId w:val="7"/>
        </w:numPr>
        <w:ind w:left="-5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يحق للجامعة وفي حالات خاصه تجديد فترة التعاقد شهراً فشهر بعد نفاذ فترة التعاقد وبنفس الأس</w:t>
      </w:r>
      <w:r w:rsidR="00040B60" w:rsidRPr="006F56E6">
        <w:rPr>
          <w:rFonts w:ascii="Arabic Typesetting" w:hAnsi="Arabic Typesetting" w:cs="Arabic Typesetting"/>
          <w:sz w:val="36"/>
          <w:szCs w:val="36"/>
          <w:rtl/>
        </w:rPr>
        <w:t>ع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ار الواردة </w:t>
      </w:r>
      <w:r w:rsidR="00040B60"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في قرار الإحالة. </w:t>
      </w:r>
    </w:p>
    <w:p w:rsidR="001C17A7" w:rsidRPr="006F56E6" w:rsidRDefault="001C17A7" w:rsidP="006F56E6">
      <w:pPr>
        <w:pStyle w:val="ListParagraph"/>
        <w:numPr>
          <w:ilvl w:val="0"/>
          <w:numId w:val="7"/>
        </w:numPr>
        <w:ind w:left="-5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تكون آلية إقرار حالات العجز الناشئة على عقد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على حياة العاملين في الجامعة على النحو التالي:</w:t>
      </w:r>
    </w:p>
    <w:p w:rsidR="00040B60" w:rsidRPr="006F56E6" w:rsidRDefault="001C17A7" w:rsidP="006F56E6">
      <w:pPr>
        <w:pStyle w:val="ListParagraph"/>
        <w:numPr>
          <w:ilvl w:val="0"/>
          <w:numId w:val="11"/>
        </w:numPr>
        <w:ind w:left="36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b/>
          <w:bCs/>
          <w:sz w:val="36"/>
          <w:szCs w:val="36"/>
          <w:rtl/>
        </w:rPr>
        <w:t>حالات العجز الناتجة عن حادث: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6F56E6">
        <w:rPr>
          <w:rFonts w:ascii="Arabic Typesetting" w:hAnsi="Arabic Typesetting" w:cs="Arabic Typesetting"/>
          <w:sz w:val="36"/>
          <w:szCs w:val="36"/>
          <w:u w:val="single"/>
          <w:rtl/>
        </w:rPr>
        <w:t>توافق الشر</w:t>
      </w:r>
      <w:r w:rsidR="00040B60" w:rsidRPr="006F56E6">
        <w:rPr>
          <w:rFonts w:ascii="Arabic Typesetting" w:hAnsi="Arabic Typesetting" w:cs="Arabic Typesetting"/>
          <w:sz w:val="36"/>
          <w:szCs w:val="36"/>
          <w:u w:val="single"/>
          <w:rtl/>
        </w:rPr>
        <w:t>ك</w:t>
      </w:r>
      <w:r w:rsidRPr="006F56E6">
        <w:rPr>
          <w:rFonts w:ascii="Arabic Typesetting" w:hAnsi="Arabic Typesetting" w:cs="Arabic Typesetting"/>
          <w:sz w:val="36"/>
          <w:szCs w:val="36"/>
          <w:u w:val="single"/>
          <w:rtl/>
        </w:rPr>
        <w:t xml:space="preserve">ة على </w:t>
      </w:r>
      <w:r w:rsidR="00040B60" w:rsidRPr="006F56E6">
        <w:rPr>
          <w:rFonts w:ascii="Arabic Typesetting" w:hAnsi="Arabic Typesetting" w:cs="Arabic Typesetting"/>
          <w:sz w:val="36"/>
          <w:szCs w:val="36"/>
          <w:u w:val="single"/>
          <w:rtl/>
        </w:rPr>
        <w:t>اعتماد</w:t>
      </w:r>
      <w:r w:rsidRPr="006F56E6">
        <w:rPr>
          <w:rFonts w:ascii="Arabic Typesetting" w:hAnsi="Arabic Typesetting" w:cs="Arabic Typesetting"/>
          <w:sz w:val="36"/>
          <w:szCs w:val="36"/>
          <w:u w:val="single"/>
          <w:rtl/>
        </w:rPr>
        <w:t xml:space="preserve"> التقارير الطبية الصادرة عن الجهة الطبية المعتمدة من الجامعة مع </w:t>
      </w:r>
      <w:r w:rsidR="00040B60" w:rsidRPr="006F56E6">
        <w:rPr>
          <w:rFonts w:ascii="Arabic Typesetting" w:hAnsi="Arabic Typesetting" w:cs="Arabic Typesetting"/>
          <w:sz w:val="36"/>
          <w:szCs w:val="36"/>
          <w:u w:val="single"/>
          <w:rtl/>
        </w:rPr>
        <w:t>احتفاظها</w:t>
      </w:r>
      <w:r w:rsidRPr="006F56E6">
        <w:rPr>
          <w:rFonts w:ascii="Arabic Typesetting" w:hAnsi="Arabic Typesetting" w:cs="Arabic Typesetting"/>
          <w:sz w:val="36"/>
          <w:szCs w:val="36"/>
          <w:u w:val="single"/>
          <w:rtl/>
        </w:rPr>
        <w:t xml:space="preserve"> بحقها في طلب </w:t>
      </w:r>
      <w:r w:rsidR="00283A4C" w:rsidRPr="006F56E6">
        <w:rPr>
          <w:rFonts w:ascii="Arabic Typesetting" w:hAnsi="Arabic Typesetting" w:cs="Arabic Typesetting"/>
          <w:sz w:val="36"/>
          <w:szCs w:val="36"/>
          <w:u w:val="single"/>
          <w:rtl/>
        </w:rPr>
        <w:t>أي</w:t>
      </w:r>
      <w:r w:rsidRPr="006F56E6">
        <w:rPr>
          <w:rFonts w:ascii="Arabic Typesetting" w:hAnsi="Arabic Typesetting" w:cs="Arabic Typesetting"/>
          <w:sz w:val="36"/>
          <w:szCs w:val="36"/>
          <w:u w:val="single"/>
          <w:rtl/>
        </w:rPr>
        <w:t xml:space="preserve"> مستندات إضافية.</w:t>
      </w:r>
    </w:p>
    <w:p w:rsidR="00040B60" w:rsidRPr="006F56E6" w:rsidRDefault="001C17A7" w:rsidP="006F56E6">
      <w:pPr>
        <w:pStyle w:val="ListParagraph"/>
        <w:numPr>
          <w:ilvl w:val="0"/>
          <w:numId w:val="11"/>
        </w:numPr>
        <w:ind w:left="36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6F56E6">
        <w:rPr>
          <w:rFonts w:ascii="Arabic Typesetting" w:hAnsi="Arabic Typesetting" w:cs="Arabic Typesetting"/>
          <w:b/>
          <w:bCs/>
          <w:sz w:val="36"/>
          <w:szCs w:val="36"/>
          <w:rtl/>
        </w:rPr>
        <w:t>حالات الع</w:t>
      </w:r>
      <w:r w:rsidR="00040B60" w:rsidRPr="006F56E6">
        <w:rPr>
          <w:rFonts w:ascii="Arabic Typesetting" w:hAnsi="Arabic Typesetting" w:cs="Arabic Typesetting"/>
          <w:b/>
          <w:bCs/>
          <w:sz w:val="36"/>
          <w:szCs w:val="36"/>
          <w:rtl/>
        </w:rPr>
        <w:t>ج</w:t>
      </w:r>
      <w:r w:rsidRPr="006F56E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ز الناتجة عن </w:t>
      </w:r>
      <w:r w:rsidR="00040B60" w:rsidRPr="006F56E6">
        <w:rPr>
          <w:rFonts w:ascii="Arabic Typesetting" w:hAnsi="Arabic Typesetting" w:cs="Arabic Typesetting"/>
          <w:b/>
          <w:bCs/>
          <w:sz w:val="36"/>
          <w:szCs w:val="36"/>
          <w:rtl/>
        </w:rPr>
        <w:t>المرض</w:t>
      </w:r>
      <w:r w:rsidRPr="006F56E6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 </w:t>
      </w:r>
      <w:r w:rsidRPr="006F56E6">
        <w:rPr>
          <w:rFonts w:ascii="Arabic Typesetting" w:hAnsi="Arabic Typesetting" w:cs="Arabic Typesetting"/>
          <w:sz w:val="36"/>
          <w:szCs w:val="36"/>
          <w:u w:val="single"/>
          <w:rtl/>
        </w:rPr>
        <w:t>ي</w:t>
      </w:r>
      <w:r w:rsidR="00DF66E3" w:rsidRPr="006F56E6">
        <w:rPr>
          <w:rFonts w:ascii="Arabic Typesetting" w:hAnsi="Arabic Typesetting" w:cs="Arabic Typesetting"/>
          <w:sz w:val="36"/>
          <w:szCs w:val="36"/>
          <w:u w:val="single"/>
          <w:rtl/>
        </w:rPr>
        <w:t>ُ</w:t>
      </w:r>
      <w:r w:rsidRPr="006F56E6">
        <w:rPr>
          <w:rFonts w:ascii="Arabic Typesetting" w:hAnsi="Arabic Typesetting" w:cs="Arabic Typesetting"/>
          <w:sz w:val="36"/>
          <w:szCs w:val="36"/>
          <w:u w:val="single"/>
          <w:rtl/>
        </w:rPr>
        <w:t xml:space="preserve">حال كل من يثبت عجزه لدى اللجنة الطبية المعتمدة من الجامعة </w:t>
      </w:r>
      <w:r w:rsidR="00040B60" w:rsidRPr="006F56E6">
        <w:rPr>
          <w:rFonts w:ascii="Arabic Typesetting" w:hAnsi="Arabic Typesetting" w:cs="Arabic Typesetting"/>
          <w:sz w:val="36"/>
          <w:szCs w:val="36"/>
          <w:u w:val="single"/>
          <w:rtl/>
        </w:rPr>
        <w:t>إلى</w:t>
      </w:r>
      <w:r w:rsidRPr="006F56E6">
        <w:rPr>
          <w:rFonts w:ascii="Arabic Typesetting" w:hAnsi="Arabic Typesetting" w:cs="Arabic Typesetting"/>
          <w:sz w:val="36"/>
          <w:szCs w:val="36"/>
          <w:u w:val="single"/>
          <w:rtl/>
        </w:rPr>
        <w:t xml:space="preserve"> طبيب الشركة المعتمد في المحافظة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للتحقق من ثبوت العجز وذلك خلال مدة اقصاها عشرة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أي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ام من تاريخ تبليغ الجامعة لطلب التعويض وتقرير اللجنة الطبية، </w:t>
      </w:r>
      <w:r w:rsidR="00505AB3" w:rsidRPr="006F56E6">
        <w:rPr>
          <w:rFonts w:ascii="Arabic Typesetting" w:hAnsi="Arabic Typesetting" w:cs="Arabic Typesetting"/>
          <w:sz w:val="36"/>
          <w:szCs w:val="36"/>
          <w:rtl/>
        </w:rPr>
        <w:t>و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في حال الاختلاف تشكل لجنة طبية تحكيمية مكونة من ثلاثة اطباء يتفق عليها طرفا </w:t>
      </w:r>
      <w:r w:rsidR="00040B60" w:rsidRPr="006F56E6">
        <w:rPr>
          <w:rFonts w:ascii="Arabic Typesetting" w:hAnsi="Arabic Typesetting" w:cs="Arabic Typesetting"/>
          <w:sz w:val="36"/>
          <w:szCs w:val="36"/>
          <w:rtl/>
        </w:rPr>
        <w:t>العقد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وعلى نفقة الشركة.</w:t>
      </w:r>
    </w:p>
    <w:p w:rsidR="00DF66E3" w:rsidRPr="006F56E6" w:rsidRDefault="001C17A7" w:rsidP="006F56E6">
      <w:pPr>
        <w:pStyle w:val="ListParagraph"/>
        <w:numPr>
          <w:ilvl w:val="0"/>
          <w:numId w:val="7"/>
        </w:numPr>
        <w:ind w:left="0" w:right="-720" w:hanging="426"/>
        <w:jc w:val="lowKashida"/>
        <w:rPr>
          <w:rFonts w:ascii="Arabic Typesetting" w:hAnsi="Arabic Typesetting" w:cs="Arabic Typesetting"/>
          <w:sz w:val="36"/>
          <w:szCs w:val="36"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p w:rsidR="00040B60" w:rsidRPr="006F56E6" w:rsidRDefault="00455570" w:rsidP="001F30A1">
      <w:pPr>
        <w:pStyle w:val="ListParagraph"/>
        <w:numPr>
          <w:ilvl w:val="0"/>
          <w:numId w:val="12"/>
        </w:numPr>
        <w:ind w:left="36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>تلتزم الشركة بتقديم كفالة دخول العطاء بمبلغ وقدره</w:t>
      </w:r>
      <w:r w:rsidR="00DC3EED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>(</w:t>
      </w:r>
      <w:r w:rsidR="001F30A1">
        <w:rPr>
          <w:rFonts w:ascii="Arabic Typesetting" w:hAnsi="Arabic Typesetting" w:cs="Arabic Typesetting"/>
          <w:sz w:val="36"/>
          <w:szCs w:val="36"/>
        </w:rPr>
        <w:t>1800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>)</w:t>
      </w:r>
      <w:r w:rsidR="00040B60"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1F30A1">
        <w:rPr>
          <w:rFonts w:ascii="Arabic Typesetting" w:hAnsi="Arabic Typesetting" w:cs="Arabic Typesetting" w:hint="cs"/>
          <w:sz w:val="36"/>
          <w:szCs w:val="36"/>
          <w:rtl/>
          <w:lang w:bidi="ar-JO"/>
        </w:rPr>
        <w:t>الف وثمانمائة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دينار، سارية المفعول لمدة ثلاثة </w:t>
      </w:r>
      <w:r w:rsidR="00040B60" w:rsidRPr="006F56E6">
        <w:rPr>
          <w:rFonts w:ascii="Arabic Typesetting" w:hAnsi="Arabic Typesetting" w:cs="Arabic Typesetting"/>
          <w:sz w:val="36"/>
          <w:szCs w:val="36"/>
          <w:rtl/>
        </w:rPr>
        <w:t>شهور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من تاريخ تقديم العرض. </w:t>
      </w:r>
    </w:p>
    <w:p w:rsidR="00040B60" w:rsidRPr="006F56E6" w:rsidRDefault="00455570" w:rsidP="0047024D">
      <w:pPr>
        <w:pStyle w:val="ListParagraph"/>
        <w:numPr>
          <w:ilvl w:val="0"/>
          <w:numId w:val="12"/>
        </w:numPr>
        <w:ind w:left="36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lastRenderedPageBreak/>
        <w:t xml:space="preserve">تلتزم الشركة </w:t>
      </w:r>
      <w:r w:rsidR="0047024D">
        <w:rPr>
          <w:rFonts w:ascii="Arabic Typesetting" w:hAnsi="Arabic Typesetting" w:cs="Arabic Typesetting" w:hint="cs"/>
          <w:sz w:val="36"/>
          <w:szCs w:val="36"/>
          <w:rtl/>
        </w:rPr>
        <w:t xml:space="preserve">المحال عليها العطاء 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بتقديم كفالة حسن تنفيذ </w:t>
      </w:r>
      <w:r w:rsidR="0047024D">
        <w:rPr>
          <w:rFonts w:ascii="Arabic Typesetting" w:hAnsi="Arabic Typesetting" w:cs="Arabic Typesetting" w:hint="cs"/>
          <w:sz w:val="36"/>
          <w:szCs w:val="36"/>
          <w:rtl/>
        </w:rPr>
        <w:t>بنسبة (10%) من القيمة التقديرية للإحالة و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>تبق</w:t>
      </w:r>
      <w:r w:rsidR="00040B60" w:rsidRPr="006F56E6">
        <w:rPr>
          <w:rFonts w:ascii="Arabic Typesetting" w:hAnsi="Arabic Typesetting" w:cs="Arabic Typesetting"/>
          <w:sz w:val="36"/>
          <w:szCs w:val="36"/>
          <w:rtl/>
        </w:rPr>
        <w:t>ى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سارية المفعول طيلة فترة التعاقد.</w:t>
      </w:r>
    </w:p>
    <w:p w:rsidR="00040B60" w:rsidRPr="006F56E6" w:rsidRDefault="00455570" w:rsidP="0047024D">
      <w:pPr>
        <w:pStyle w:val="ListParagraph"/>
        <w:numPr>
          <w:ilvl w:val="0"/>
          <w:numId w:val="7"/>
        </w:numPr>
        <w:ind w:left="-5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تلتزم الش</w:t>
      </w:r>
      <w:r w:rsidR="00040B60" w:rsidRPr="006F56E6">
        <w:rPr>
          <w:rFonts w:ascii="Arabic Typesetting" w:hAnsi="Arabic Typesetting" w:cs="Arabic Typesetting"/>
          <w:sz w:val="36"/>
          <w:szCs w:val="36"/>
          <w:rtl/>
        </w:rPr>
        <w:t>ر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كة بدفع رسوم الإحالة والطوابع المقررة على إجمالي الإحالة </w:t>
      </w:r>
      <w:r w:rsidR="00505AB3" w:rsidRPr="006F56E6">
        <w:rPr>
          <w:rFonts w:ascii="Arabic Typesetting" w:hAnsi="Arabic Typesetting" w:cs="Arabic Typesetting"/>
          <w:sz w:val="36"/>
          <w:szCs w:val="36"/>
          <w:rtl/>
        </w:rPr>
        <w:t>و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حسب التقدير المبدئي </w:t>
      </w:r>
      <w:r w:rsidR="00505AB3" w:rsidRPr="006F56E6">
        <w:rPr>
          <w:rFonts w:ascii="Arabic Typesetting" w:hAnsi="Arabic Typesetting" w:cs="Arabic Typesetting"/>
          <w:sz w:val="36"/>
          <w:szCs w:val="36"/>
          <w:rtl/>
        </w:rPr>
        <w:t>للقسط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السنوي.</w:t>
      </w:r>
    </w:p>
    <w:p w:rsidR="00DF66E3" w:rsidRPr="006F56E6" w:rsidRDefault="00455570" w:rsidP="006F56E6">
      <w:pPr>
        <w:pStyle w:val="ListParagraph"/>
        <w:numPr>
          <w:ilvl w:val="0"/>
          <w:numId w:val="7"/>
        </w:numPr>
        <w:ind w:left="0" w:right="-720" w:hanging="426"/>
        <w:jc w:val="lowKashida"/>
        <w:rPr>
          <w:rFonts w:ascii="Arabic Typesetting" w:hAnsi="Arabic Typesetting" w:cs="Arabic Typesetting"/>
          <w:sz w:val="36"/>
          <w:szCs w:val="36"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p w:rsidR="00040B60" w:rsidRPr="006F56E6" w:rsidRDefault="00455570" w:rsidP="006F56E6">
      <w:pPr>
        <w:pStyle w:val="ListParagraph"/>
        <w:numPr>
          <w:ilvl w:val="0"/>
          <w:numId w:val="13"/>
        </w:numPr>
        <w:tabs>
          <w:tab w:val="left" w:pos="368"/>
        </w:tabs>
        <w:ind w:left="36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في حال وجود </w:t>
      </w:r>
      <w:r w:rsidR="00040B60" w:rsidRPr="006F56E6">
        <w:rPr>
          <w:rFonts w:ascii="Arabic Typesetting" w:hAnsi="Arabic Typesetting" w:cs="Arabic Typesetting"/>
          <w:sz w:val="36"/>
          <w:szCs w:val="36"/>
          <w:rtl/>
        </w:rPr>
        <w:t>أية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امتيازات </w:t>
      </w:r>
      <w:r w:rsidR="00040B60" w:rsidRPr="006F56E6">
        <w:rPr>
          <w:rFonts w:ascii="Arabic Typesetting" w:hAnsi="Arabic Typesetting" w:cs="Arabic Typesetting"/>
          <w:sz w:val="36"/>
          <w:szCs w:val="36"/>
          <w:rtl/>
        </w:rPr>
        <w:t>اخرى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تراها شرك</w:t>
      </w:r>
      <w:r w:rsidR="00505AB3" w:rsidRPr="006F56E6">
        <w:rPr>
          <w:rFonts w:ascii="Arabic Typesetting" w:hAnsi="Arabic Typesetting" w:cs="Arabic Typesetting"/>
          <w:sz w:val="36"/>
          <w:szCs w:val="36"/>
          <w:rtl/>
        </w:rPr>
        <w:t>ات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ولم ترد في دعوة العطاء فيمكن ان تذكرها في عروضها للإفادة منها عند دراسة العروض.</w:t>
      </w:r>
    </w:p>
    <w:p w:rsidR="00040B60" w:rsidRPr="006F56E6" w:rsidRDefault="00455570" w:rsidP="006F56E6">
      <w:pPr>
        <w:pStyle w:val="ListParagraph"/>
        <w:numPr>
          <w:ilvl w:val="0"/>
          <w:numId w:val="13"/>
        </w:numPr>
        <w:tabs>
          <w:tab w:val="left" w:pos="368"/>
        </w:tabs>
        <w:ind w:left="36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تقوم </w:t>
      </w:r>
      <w:r w:rsidR="00040B60" w:rsidRPr="006F56E6">
        <w:rPr>
          <w:rFonts w:ascii="Arabic Typesetting" w:hAnsi="Arabic Typesetting" w:cs="Arabic Typesetting"/>
          <w:sz w:val="36"/>
          <w:szCs w:val="36"/>
          <w:rtl/>
        </w:rPr>
        <w:t>الجامعة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بإخطار الشركة المحال عليها العطاء ب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أي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ضرر يصيب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أي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اً من المشتركين في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، وفقاً للشروط </w:t>
      </w:r>
      <w:r w:rsidR="00040B60" w:rsidRPr="006F56E6">
        <w:rPr>
          <w:rFonts w:ascii="Arabic Typesetting" w:hAnsi="Arabic Typesetting" w:cs="Arabic Typesetting"/>
          <w:sz w:val="36"/>
          <w:szCs w:val="36"/>
          <w:rtl/>
        </w:rPr>
        <w:t xml:space="preserve">الواردة 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في العقد خلال فترة مناسبة وتلتزم الشركة بدفع كامل التعويضات المستحقة عن الأضرار والحوادث التي تقع خلال مدة سريان العقد في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أي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وقت تطالبها بها الجامعة.</w:t>
      </w:r>
    </w:p>
    <w:p w:rsidR="00040B60" w:rsidRPr="006F56E6" w:rsidRDefault="006209D5" w:rsidP="0047024D">
      <w:pPr>
        <w:pStyle w:val="ListParagraph"/>
        <w:numPr>
          <w:ilvl w:val="0"/>
          <w:numId w:val="13"/>
        </w:numPr>
        <w:tabs>
          <w:tab w:val="left" w:pos="368"/>
        </w:tabs>
        <w:ind w:left="36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يعتبر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ساري المفعول فور </w:t>
      </w:r>
      <w:r w:rsidR="0047024D">
        <w:rPr>
          <w:rFonts w:ascii="Arabic Typesetting" w:hAnsi="Arabic Typesetting" w:cs="Arabic Typesetting" w:hint="cs"/>
          <w:sz w:val="36"/>
          <w:szCs w:val="36"/>
          <w:rtl/>
        </w:rPr>
        <w:t>توقيع الشركة على قرار الإحالة.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p w:rsidR="001C17A7" w:rsidRPr="006F56E6" w:rsidRDefault="006209D5" w:rsidP="006F56E6">
      <w:pPr>
        <w:pStyle w:val="ListParagraph"/>
        <w:numPr>
          <w:ilvl w:val="0"/>
          <w:numId w:val="13"/>
        </w:numPr>
        <w:tabs>
          <w:tab w:val="left" w:pos="368"/>
        </w:tabs>
        <w:ind w:left="36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ستقوم الجامعة بتزويد عدد العاملين في الجامعة ومبالغ تأمينهم في </w:t>
      </w:r>
      <w:r w:rsidR="00040B60" w:rsidRPr="006F56E6">
        <w:rPr>
          <w:rFonts w:ascii="Arabic Typesetting" w:hAnsi="Arabic Typesetting" w:cs="Arabic Typesetting"/>
          <w:sz w:val="36"/>
          <w:szCs w:val="36"/>
          <w:rtl/>
        </w:rPr>
        <w:t>بداية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كل عام، يضاف إليهم التعينات الجديدة.</w:t>
      </w:r>
    </w:p>
    <w:p w:rsidR="006209D5" w:rsidRPr="006F56E6" w:rsidRDefault="006209D5" w:rsidP="006F56E6">
      <w:pPr>
        <w:pStyle w:val="ListParagraph"/>
        <w:numPr>
          <w:ilvl w:val="0"/>
          <w:numId w:val="7"/>
        </w:numPr>
        <w:ind w:left="-5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تلتزم الشركة التزاماً تاماً بالشروط الواردة في دعوة العطاء والمراسلات اللاحقة </w:t>
      </w:r>
      <w:r w:rsidR="00040B60" w:rsidRPr="006F56E6">
        <w:rPr>
          <w:rFonts w:ascii="Arabic Typesetting" w:hAnsi="Arabic Typesetting" w:cs="Arabic Typesetting"/>
          <w:sz w:val="36"/>
          <w:szCs w:val="36"/>
          <w:rtl/>
        </w:rPr>
        <w:t>وبالأحكام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 والإجراءات المنصوص عليها في نظام اللوازم والأشغال المعمول 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lastRenderedPageBreak/>
        <w:t xml:space="preserve">بها في الجامعة، وتكون </w:t>
      </w:r>
      <w:r w:rsidR="00040B60" w:rsidRPr="006F56E6">
        <w:rPr>
          <w:rFonts w:ascii="Arabic Typesetting" w:hAnsi="Arabic Typesetting" w:cs="Arabic Typesetting"/>
          <w:sz w:val="36"/>
          <w:szCs w:val="36"/>
          <w:rtl/>
        </w:rPr>
        <w:t>إحالة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العطاء على أساس:</w:t>
      </w:r>
    </w:p>
    <w:p w:rsidR="006209D5" w:rsidRPr="006F56E6" w:rsidRDefault="006209D5" w:rsidP="006F56E6">
      <w:pPr>
        <w:pStyle w:val="ListParagraph"/>
        <w:numPr>
          <w:ilvl w:val="0"/>
          <w:numId w:val="14"/>
        </w:numPr>
        <w:ind w:left="368" w:right="-720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>مدى تقيد الشركة بالشروط أعلاه.</w:t>
      </w:r>
    </w:p>
    <w:p w:rsidR="006209D5" w:rsidRPr="006F56E6" w:rsidRDefault="006209D5" w:rsidP="006F56E6">
      <w:pPr>
        <w:pStyle w:val="ListParagraph"/>
        <w:numPr>
          <w:ilvl w:val="0"/>
          <w:numId w:val="14"/>
        </w:numPr>
        <w:ind w:left="368" w:right="-720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سعر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الشهري الأقل.</w:t>
      </w:r>
    </w:p>
    <w:p w:rsidR="006209D5" w:rsidRPr="006F56E6" w:rsidRDefault="00AF1959" w:rsidP="006F56E6">
      <w:pPr>
        <w:pStyle w:val="ListParagraph"/>
        <w:numPr>
          <w:ilvl w:val="0"/>
          <w:numId w:val="14"/>
        </w:numPr>
        <w:ind w:left="368" w:right="-720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>نسبة المشاركة في الأرباح.</w:t>
      </w:r>
    </w:p>
    <w:p w:rsidR="00AF1959" w:rsidRPr="006F56E6" w:rsidRDefault="00AF1959" w:rsidP="006F56E6">
      <w:pPr>
        <w:pStyle w:val="ListParagraph"/>
        <w:numPr>
          <w:ilvl w:val="0"/>
          <w:numId w:val="14"/>
        </w:numPr>
        <w:ind w:left="368" w:right="-720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قدرة الشركة وسمعتها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>ية.</w:t>
      </w:r>
    </w:p>
    <w:p w:rsidR="00AF1959" w:rsidRPr="006F56E6" w:rsidRDefault="00AF1959" w:rsidP="006F56E6">
      <w:pPr>
        <w:pStyle w:val="ListParagraph"/>
        <w:numPr>
          <w:ilvl w:val="0"/>
          <w:numId w:val="7"/>
        </w:numPr>
        <w:ind w:left="-5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ضرورة ذكر أسماء </w:t>
      </w:r>
      <w:r w:rsidR="00040B60" w:rsidRPr="006F56E6">
        <w:rPr>
          <w:rFonts w:ascii="Arabic Typesetting" w:hAnsi="Arabic Typesetting" w:cs="Arabic Typesetting"/>
          <w:sz w:val="36"/>
          <w:szCs w:val="36"/>
          <w:rtl/>
        </w:rPr>
        <w:t>شركات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إعادة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بشكل رسمي وموثق.</w:t>
      </w:r>
    </w:p>
    <w:p w:rsidR="00AF1959" w:rsidRPr="006F56E6" w:rsidRDefault="00AF1959" w:rsidP="0047024D">
      <w:pPr>
        <w:pStyle w:val="ListParagraph"/>
        <w:numPr>
          <w:ilvl w:val="0"/>
          <w:numId w:val="7"/>
        </w:numPr>
        <w:ind w:left="-58"/>
        <w:jc w:val="lowKashida"/>
        <w:rPr>
          <w:rFonts w:ascii="Arabic Typesetting" w:hAnsi="Arabic Typesetting" w:cs="Arabic Typesetting"/>
          <w:sz w:val="36"/>
          <w:szCs w:val="36"/>
          <w:rtl/>
        </w:rPr>
      </w:pP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مرفق كشف </w:t>
      </w:r>
      <w:r w:rsidR="0047024D">
        <w:rPr>
          <w:rFonts w:ascii="Arabic Typesetting" w:hAnsi="Arabic Typesetting" w:cs="Arabic Typesetting" w:hint="cs"/>
          <w:sz w:val="36"/>
          <w:szCs w:val="36"/>
          <w:rtl/>
        </w:rPr>
        <w:t>بتواريخ ميلاد العاملين الحاليين في الجامعة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وذلك </w:t>
      </w:r>
      <w:r w:rsidR="008E5DAA" w:rsidRPr="006F56E6">
        <w:rPr>
          <w:rFonts w:ascii="Arabic Typesetting" w:hAnsi="Arabic Typesetting" w:cs="Arabic Typesetting"/>
          <w:sz w:val="36"/>
          <w:szCs w:val="36"/>
          <w:rtl/>
        </w:rPr>
        <w:t>للاستئناس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علماً بأن هذه الأعداد قابلة للزيادة والنقصان حسب مقتضيات الحال.</w:t>
      </w:r>
    </w:p>
    <w:p w:rsidR="006209D5" w:rsidRPr="006F56E6" w:rsidRDefault="00AF1959" w:rsidP="00B64BA9">
      <w:pPr>
        <w:ind w:left="-625"/>
        <w:jc w:val="lowKashida"/>
        <w:rPr>
          <w:rFonts w:ascii="Arabic Typesetting" w:hAnsi="Arabic Typesetting" w:cs="Arabic Typesetting"/>
          <w:sz w:val="36"/>
          <w:szCs w:val="36"/>
        </w:rPr>
      </w:pPr>
      <w:r w:rsidRPr="006F56E6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تعريف منفعة الوفاة بحادث: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في حالة إصابة المؤمن علية قبل تاريخ انتهاء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إصابة مسببة فقط ومباشرة عن فعل طارئ عنيف خارجي ومنظو</w:t>
      </w:r>
      <w:r w:rsidR="008E5DAA" w:rsidRPr="006F56E6">
        <w:rPr>
          <w:rFonts w:ascii="Arabic Typesetting" w:hAnsi="Arabic Typesetting" w:cs="Arabic Typesetting"/>
          <w:sz w:val="36"/>
          <w:szCs w:val="36"/>
          <w:rtl/>
        </w:rPr>
        <w:t>ر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، عرضي تدفع الشركة ضعفي قيمة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، ويشمل التعويض بضعفي مبلغ </w:t>
      </w:r>
      <w:r w:rsidR="00283A4C" w:rsidRPr="006F56E6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 xml:space="preserve"> والوفاة الناتجة عن الحرب الأهلية، </w:t>
      </w:r>
      <w:r w:rsidR="008E5DAA" w:rsidRPr="006F56E6">
        <w:rPr>
          <w:rFonts w:ascii="Arabic Typesetting" w:hAnsi="Arabic Typesetting" w:cs="Arabic Typesetting"/>
          <w:sz w:val="36"/>
          <w:szCs w:val="36"/>
          <w:rtl/>
        </w:rPr>
        <w:t>الاضطرابات</w:t>
      </w:r>
      <w:r w:rsidRPr="006F56E6">
        <w:rPr>
          <w:rFonts w:ascii="Arabic Typesetting" w:hAnsi="Arabic Typesetting" w:cs="Arabic Typesetting"/>
          <w:sz w:val="36"/>
          <w:szCs w:val="36"/>
          <w:rtl/>
        </w:rPr>
        <w:t>، الفتن الداخلية، الشغب، الثورات المسلحة وأعمال العنف.</w:t>
      </w:r>
    </w:p>
    <w:p w:rsidR="00122869" w:rsidRPr="006F56E6" w:rsidRDefault="00122869" w:rsidP="006F56E6">
      <w:pPr>
        <w:jc w:val="lowKashida"/>
        <w:rPr>
          <w:rFonts w:ascii="Arabic Typesetting" w:hAnsi="Arabic Typesetting" w:cs="Arabic Typesetting"/>
          <w:sz w:val="36"/>
          <w:szCs w:val="36"/>
        </w:rPr>
      </w:pPr>
    </w:p>
    <w:sectPr w:rsidR="00122869" w:rsidRPr="006F56E6" w:rsidSect="00DC3EED">
      <w:pgSz w:w="11906" w:h="16838"/>
      <w:pgMar w:top="993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939" w:rsidRDefault="00395939" w:rsidP="008F6E0C">
      <w:pPr>
        <w:spacing w:after="0" w:line="240" w:lineRule="auto"/>
      </w:pPr>
      <w:r>
        <w:separator/>
      </w:r>
    </w:p>
  </w:endnote>
  <w:endnote w:type="continuationSeparator" w:id="0">
    <w:p w:rsidR="00395939" w:rsidRDefault="00395939" w:rsidP="008F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939" w:rsidRDefault="00395939" w:rsidP="008F6E0C">
      <w:pPr>
        <w:spacing w:after="0" w:line="240" w:lineRule="auto"/>
      </w:pPr>
      <w:r>
        <w:separator/>
      </w:r>
    </w:p>
  </w:footnote>
  <w:footnote w:type="continuationSeparator" w:id="0">
    <w:p w:rsidR="00395939" w:rsidRDefault="00395939" w:rsidP="008F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54_"/>
      </v:shape>
    </w:pict>
  </w:numPicBullet>
  <w:abstractNum w:abstractNumId="0" w15:restartNumberingAfterBreak="0">
    <w:nsid w:val="0C3500F7"/>
    <w:multiLevelType w:val="hybridMultilevel"/>
    <w:tmpl w:val="2C4A9B16"/>
    <w:lvl w:ilvl="0" w:tplc="3F865F2C">
      <w:start w:val="1"/>
      <w:numFmt w:val="arabicAbjad"/>
      <w:lvlText w:val="%1-"/>
      <w:lvlJc w:val="left"/>
      <w:pPr>
        <w:ind w:left="728" w:hanging="360"/>
      </w:pPr>
      <w:rPr>
        <w:rFonts w:hint="default"/>
        <w:b/>
        <w:bCs/>
        <w:i w:val="0"/>
        <w:strike w:val="0"/>
        <w:dstrike w:val="0"/>
        <w:color w:val="000000"/>
        <w:sz w:val="36"/>
        <w:szCs w:val="36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" w15:restartNumberingAfterBreak="0">
    <w:nsid w:val="0D825C05"/>
    <w:multiLevelType w:val="hybridMultilevel"/>
    <w:tmpl w:val="70C823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EB6B73"/>
    <w:multiLevelType w:val="hybridMultilevel"/>
    <w:tmpl w:val="D3089650"/>
    <w:lvl w:ilvl="0" w:tplc="96445CEC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F15D6"/>
    <w:multiLevelType w:val="hybridMultilevel"/>
    <w:tmpl w:val="420ADC18"/>
    <w:lvl w:ilvl="0" w:tplc="23445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F2DB9"/>
    <w:multiLevelType w:val="hybridMultilevel"/>
    <w:tmpl w:val="B6323A46"/>
    <w:lvl w:ilvl="0" w:tplc="63341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513F4"/>
    <w:multiLevelType w:val="hybridMultilevel"/>
    <w:tmpl w:val="5ABC63EE"/>
    <w:lvl w:ilvl="0" w:tplc="96445CEC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B1DEF"/>
    <w:multiLevelType w:val="hybridMultilevel"/>
    <w:tmpl w:val="19C278F0"/>
    <w:lvl w:ilvl="0" w:tplc="96445CEC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2152F"/>
    <w:multiLevelType w:val="hybridMultilevel"/>
    <w:tmpl w:val="E09C7FB4"/>
    <w:lvl w:ilvl="0" w:tplc="96445CEC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06F86"/>
    <w:multiLevelType w:val="hybridMultilevel"/>
    <w:tmpl w:val="7E16A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17536"/>
    <w:multiLevelType w:val="hybridMultilevel"/>
    <w:tmpl w:val="EA3C9B5E"/>
    <w:lvl w:ilvl="0" w:tplc="96445CEC">
      <w:start w:val="1"/>
      <w:numFmt w:val="arabicAbjad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9891DD4"/>
    <w:multiLevelType w:val="hybridMultilevel"/>
    <w:tmpl w:val="92AE8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CE3061"/>
    <w:multiLevelType w:val="hybridMultilevel"/>
    <w:tmpl w:val="54246B20"/>
    <w:lvl w:ilvl="0" w:tplc="8FA0729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A274F"/>
    <w:multiLevelType w:val="hybridMultilevel"/>
    <w:tmpl w:val="851CF126"/>
    <w:lvl w:ilvl="0" w:tplc="96445CEC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C75DF"/>
    <w:multiLevelType w:val="hybridMultilevel"/>
    <w:tmpl w:val="95685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BC"/>
    <w:rsid w:val="00001C0D"/>
    <w:rsid w:val="00007DB1"/>
    <w:rsid w:val="000329C7"/>
    <w:rsid w:val="00040B60"/>
    <w:rsid w:val="000D36F7"/>
    <w:rsid w:val="000F70B0"/>
    <w:rsid w:val="0011047A"/>
    <w:rsid w:val="00122869"/>
    <w:rsid w:val="00123A39"/>
    <w:rsid w:val="00182E5B"/>
    <w:rsid w:val="001C17A7"/>
    <w:rsid w:val="001F30A1"/>
    <w:rsid w:val="00283A4C"/>
    <w:rsid w:val="002C4B09"/>
    <w:rsid w:val="002D6B14"/>
    <w:rsid w:val="002E65BC"/>
    <w:rsid w:val="00313D59"/>
    <w:rsid w:val="0038590D"/>
    <w:rsid w:val="00395939"/>
    <w:rsid w:val="003F0198"/>
    <w:rsid w:val="0040663B"/>
    <w:rsid w:val="0043030F"/>
    <w:rsid w:val="00455570"/>
    <w:rsid w:val="0047024D"/>
    <w:rsid w:val="00505AB3"/>
    <w:rsid w:val="00580454"/>
    <w:rsid w:val="005A58D8"/>
    <w:rsid w:val="005D72FE"/>
    <w:rsid w:val="006209D5"/>
    <w:rsid w:val="00620AB6"/>
    <w:rsid w:val="0062540C"/>
    <w:rsid w:val="006F56E6"/>
    <w:rsid w:val="00767E39"/>
    <w:rsid w:val="0078581A"/>
    <w:rsid w:val="007D768C"/>
    <w:rsid w:val="00811522"/>
    <w:rsid w:val="00887A4F"/>
    <w:rsid w:val="008A1416"/>
    <w:rsid w:val="008E5DAA"/>
    <w:rsid w:val="008F6E0C"/>
    <w:rsid w:val="00953456"/>
    <w:rsid w:val="00A21014"/>
    <w:rsid w:val="00A34C8E"/>
    <w:rsid w:val="00AA7930"/>
    <w:rsid w:val="00AB0163"/>
    <w:rsid w:val="00AC2888"/>
    <w:rsid w:val="00AF1959"/>
    <w:rsid w:val="00B5177B"/>
    <w:rsid w:val="00B64BA9"/>
    <w:rsid w:val="00B81AB3"/>
    <w:rsid w:val="00B85293"/>
    <w:rsid w:val="00B930C1"/>
    <w:rsid w:val="00BA1F73"/>
    <w:rsid w:val="00C1248A"/>
    <w:rsid w:val="00C5793A"/>
    <w:rsid w:val="00CC4516"/>
    <w:rsid w:val="00D354FC"/>
    <w:rsid w:val="00DA0FE2"/>
    <w:rsid w:val="00DC3EED"/>
    <w:rsid w:val="00DF66E3"/>
    <w:rsid w:val="00E024C0"/>
    <w:rsid w:val="00E24DE3"/>
    <w:rsid w:val="00E51540"/>
    <w:rsid w:val="00E758F2"/>
    <w:rsid w:val="00EC3D68"/>
    <w:rsid w:val="00ED6D29"/>
    <w:rsid w:val="00F02E0C"/>
    <w:rsid w:val="00F12D9A"/>
    <w:rsid w:val="00F9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ACA99-8B26-4B89-98CB-CEFF774E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869"/>
    <w:pPr>
      <w:ind w:left="720"/>
      <w:contextualSpacing/>
    </w:pPr>
  </w:style>
  <w:style w:type="table" w:styleId="TableGrid">
    <w:name w:val="Table Grid"/>
    <w:basedOn w:val="TableNormal"/>
    <w:uiPriority w:val="59"/>
    <w:rsid w:val="00F1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A1416"/>
  </w:style>
  <w:style w:type="paragraph" w:styleId="BalloonText">
    <w:name w:val="Balloon Text"/>
    <w:basedOn w:val="Normal"/>
    <w:link w:val="BalloonTextChar"/>
    <w:uiPriority w:val="99"/>
    <w:semiHidden/>
    <w:unhideWhenUsed/>
    <w:rsid w:val="00D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E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E0C"/>
  </w:style>
  <w:style w:type="paragraph" w:styleId="Footer">
    <w:name w:val="footer"/>
    <w:basedOn w:val="Normal"/>
    <w:link w:val="FooterChar"/>
    <w:uiPriority w:val="99"/>
    <w:unhideWhenUsed/>
    <w:rsid w:val="008F6E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2021-11-24T10:29:00Z</cp:lastPrinted>
  <dcterms:created xsi:type="dcterms:W3CDTF">2021-11-24T09:10:00Z</dcterms:created>
  <dcterms:modified xsi:type="dcterms:W3CDTF">2021-11-25T07:52:00Z</dcterms:modified>
</cp:coreProperties>
</file>